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bookmarkStart w:id="0" w:name="_GoBack"/>
      <w:r>
        <w:rPr>
          <w:rFonts w:hint="eastAsia" w:ascii="宋体" w:hAnsi="宋体" w:eastAsia="宋体" w:cs="宋体"/>
          <w:b/>
          <w:i w:val="0"/>
          <w:caps w:val="0"/>
          <w:color w:val="333333"/>
          <w:spacing w:val="0"/>
          <w:sz w:val="36"/>
          <w:szCs w:val="36"/>
          <w:bdr w:val="none" w:color="auto" w:sz="0" w:space="0"/>
          <w:shd w:val="clear" w:fill="FFFFFF"/>
        </w:rPr>
        <w:t>国务院决定取消的行政许可事项目录</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（共29项）</w:t>
      </w: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38"/>
        <w:gridCol w:w="1320"/>
        <w:gridCol w:w="1296"/>
        <w:gridCol w:w="1620"/>
        <w:gridCol w:w="409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Calibri" w:hAnsi="Calibri" w:cs="Calibri"/>
                <w:sz w:val="21"/>
                <w:szCs w:val="21"/>
              </w:rPr>
            </w:pPr>
            <w:r>
              <w:rPr>
                <w:rFonts w:hint="eastAsia" w:ascii="宋体" w:hAnsi="宋体" w:eastAsia="宋体" w:cs="宋体"/>
                <w:b/>
                <w:sz w:val="20"/>
                <w:szCs w:val="20"/>
                <w:bdr w:val="none" w:color="auto" w:sz="0" w:space="0"/>
              </w:rPr>
              <w:t>序号</w:t>
            </w:r>
          </w:p>
        </w:tc>
        <w:tc>
          <w:tcPr>
            <w:tcW w:w="1320"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事项名称</w:t>
            </w:r>
          </w:p>
        </w:tc>
        <w:tc>
          <w:tcPr>
            <w:tcW w:w="1296"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审批部门</w:t>
            </w:r>
          </w:p>
        </w:tc>
        <w:tc>
          <w:tcPr>
            <w:tcW w:w="1620"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设定依据</w:t>
            </w:r>
          </w:p>
        </w:tc>
        <w:tc>
          <w:tcPr>
            <w:tcW w:w="4097"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加强事中事后监管措施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外商投资经营电信业务审定意见书核发</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工业和信息化部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《外商投资电信企业管理规定》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取消许可后，工业和信息化部、省级通信管理局要通过以下措施加强监管：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1.在办理“电信业务经营许可”时，对外商投资电信企业落实股比限制要求情况进行严格把关。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2.加强对外商投资电信企业日常经营活动的监测，督促其按要求报送有关信息。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3.通过“双随机、一公开”监管等方式加强监管，发现违法违规行为要依法查处并向社会公开结果。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4.依法实施信用监管，如实记录违法失信行为，实施差异化监管等措施。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铬化合物生产建设项目审批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省级工业和信息化部门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《国务院办公厅关于印发工业和信息化部主要职责内设机构和人员编制规定的通知》（国办发〔2008〕72号）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《国务院关于取消和调整一批行政审批项目等事项的决定》（国发〔2015〕11号）</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取消许可后，工业和信息化部门要通过以下措施加强监管：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1.严格执行铬化合物生产的产业政策，发现铬化合物生产建设项目属于禁止或者限制类项目的，要按照规定及时处置。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按照《国务院办公厅关于推进城镇人口密集区危险化学品生产企业搬迁改造的指导意见》（国办发〔2017〕77号）规定，对位于城镇人口密集区的铬化合物生产企业严格评估安全和卫生防护距离，评估不达标的企业要进行搬迁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3.支持和鼓励铬渣资源综合利用，制定相关产品标准，推动钢铁企业消纳铬渣。</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3</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典当业特种行业许可证核发</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县级以上地方公安机关</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取消许可后，公安机关和有关部门要通过以下措施加强监管：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省级地方金融监管部门应当将办理“设立典当行及分支机构审批”（含设立、变更、注销）的信息在作出审批决定后5个工作日内推送至省级公安机关，公安机关据此将典当行及分支机构纳入监管范围，依法实施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2.通过“双随机、一公开”监管等方式，加强对典当行的治安管理，及时化解风险隐患，发现违法犯罪活动要依法查处。</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4</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通航建筑物设计文件和施工方案审批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省级交通运输部门或航道管理机构</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《中华人民共和国航道管理条例》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取消许可后，交通运输部门、航道管理机构要通过以下措施加强监管：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1.要求通航建筑物建设单位完成通航建筑物设计后报请有关交通运输部门办理“水运工程建设项目设计文件审批”。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2.加强对水运工程建设市场的监管，督促建设单位严格落实经审批同意的水运工程建设项目设计文件，发现违法违规行为要依法查处并向社会公开结果。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5</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新农药登记试验审查</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农业农村部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《农药管理条例》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取消许可，改为备案。农业农村部门要通过以下措施加强监管：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1.建立健全新农药登记试验备案制度，建设全国统一的在线备案平台，方便有关企业快捷办理备案手续，对不按要求备案的要依法设定并追究法律责任。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2.严格实施“农药登记试验单位认定”许可，把牢农药登记试验单位准入关口。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3.对备案的新农药登记试验活动进行抽查监管，督促有关单位落实风险防控措施，发现违法违规行为要依法查处并向社会公开结果。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4.在“农药登记”许可环节，对新农药登记试验活动有关情况进行审查把关。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6</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七类肥料（含大量元素水溶肥料、中量元素水溶肥料、微量元素水溶肥料、农用氯化钾镁、农用硫酸钾镁、复混肥料、掺混肥料）登记</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农业农村部、省级农业农村部门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《中华人民共和国农业法》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《中华人民共和国农产品质量安全法》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《中华人民共和国土壤污染防治法》</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取消许可，改为备案。农业农村部门要通过以下措施加强监管：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1.建立健全部分肥料产品备案制度，建立网上备案平台，对不按要求备案的要依法设定并追究法律责任。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2.开展“双随机、一公开”监管，对市场流通的七类肥料产品开展抽检，发现违法违规行为要依法查处并向社会公开结果。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7</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乡村兽医登记许可</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县级农业农村（兽医）部门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《中华人民共和国动物防疫法》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《乡村兽医管理办法》（原农业部令第17号）</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取消许可，改为备案。农业农村（兽医）部门要通过以下措施加强监管：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1.建立健全乡村兽医服务人员备案制度，对不按要求备案的要依法设定并追究法律责任。要向社会公开备案情况，方便查询、就医，并发挥社会监督作用。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2.开展“双随机、一公开”监管，畅通投诉举报渠道，发现违法违规行为要依法查处并向社会公开结果。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8</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兴建可能导致重点保护野生动植物生存环境污染和破坏的海岸工程建设项目审批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设区的市级农业农村（渔业）部门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《中华人民共和国防治海岸工程建设项目污染损害海洋环境管理条例》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取消许可后，农业农村（渔业）部门和有关部门要通过以下措施加强监管：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对可能导致重点保护野生动植物生存环境污染和破坏的海岸工程建设项目，生态环境部门在审批环境影响评价文件时应征求农业农村（渔业）部门意见，科学分析建设项目对重点保护野生动植物生存环境的影响并提出相应保护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2.加强对建设项目环境保护措施落实情况的监管，发现违法违规行为要依法查处并向社会公开结果。</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9</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石油成品油批发、仓储经营资格审批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商务部、省级商务部门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取消许可后，商务部门要会同有关部门通过以下措施加强监管：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商务部门严格落实石油成品油流通行业监管职责。要求石油成品油批发、仓储企业建立购销和出入库台账制度，完善油品来源、销售去向、检验报告、检查记录等凭证材料档案。开展“双随机、一公开”监管，重点检查企业台账制度建立执行情况，发现违法违规行为依法处理或者提请有关部门予以查处。结合企业诚信经营和风险状况依法实施差异化监管。支持行业协会发挥行业自律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地方政府严格落实属地监管职责。建立跨部门联合监管机制，按照综合行政执法改革精神，统筹配置行政处罚职能和执法资源，加强协同监管。建立投诉举报制度，定期组织开展对石油成品油批发、仓储企业的专项检查，发现违法违规行为由各有关部门按职责依法依规查处。建立企业信用记录并纳入全国信用信息共享平台，对违法失信企业依法实施失信惩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相关部门严格落实专项监管职责。从事石油成品油批发、仓储经营活动的企业必须符合自然资源、规划、建设、质量计量、环保、安全生产、消防、治安反恐、商务、税务、交通运输、气象等方面法律法规和标准要求，依法依规开展经营。公安、自然资源、生态环境、住房城乡建设、交通运输、商务、应急管理、税务、市场监管、能源等部门按职责依法依规加强监管，承担安全生产监管责任的部门切实履行监管责任、守牢安全底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4.加强石油成品油批发、仓储行业监管信息共享运用。市场监管部门要及时将新登记经营范围涉及石油成品油批发、仓储的企业信息推送至有关主管部门。商务部门要将改革前已取得相应许可的石油成品油批发、仓储企业信息，以及行业监管中发现的超经营范围经营企业信息或者无照经营信息及时推送至有关主管部门。各有关主管部门要充分运用共享的监管信息，有针对性地加强监管执法。</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10</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部分医疗机构（除三级医院、三级妇幼保健院、急救中心、急救站、临床检验中心、中外合资合作医疗机构、港澳台独资医疗机构外）《设置医疗机构批准书》核发</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县级以上地方卫生健康部门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《医疗机构管理条例》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取消许可后，卫生健康部门要通过以下措施加强监管：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1.完善医疗机构设置规划方式,对社会办医疗机构实行指导性规划。加强对社会资本投资医疗机构的服务，同时注意防止以服务之名行审批之实。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2.严格实施“医疗机构执业登记”，并将审批结果向社会公开。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3.开展“双随机、一公开”监管、重点监管等，畅通投诉举报渠道，依法处理医患纠纷和医疗事故，加大对医疗机构的监督检查力度，发现违法违规行为要依法查处并向社会公开结果。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4.依法实施信用监管，如实记录违法失信行为，实施差异化监管措施，对严重违法的医疗机构及其从业人员实行行业禁入。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11</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职业卫生技术服务机构丙级资质认可</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设区的市级卫生健康部门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《中华人民共和国职业病防治法》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《职业卫生技术服务机构监督管理暂行办法》（原国家安全监管总局令第50号）</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取消许可，整合至“职业卫生技术服务机构乙级资质认可”。卫生健康部门要通过以下措施加强监管：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1.适当降低职业卫生技术服务机构乙级资质条件要求，完善职业卫生技术服务标准。引导现有职业卫生技术服务丙级机构换领新的乙级资质证书，拓宽业务范围和业务地域范围。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2.开展“双随机、一公开”监管，畅通投诉举报渠道，发现违法违规行为要依法查处并向社会公开结果。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3.对存在职业病危害因素的企业，依法开展职业病危害因素监督检查。发现职业卫生技术服务机构出具虚假报告的，依法追究法律责任。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4.依法实施信用监管，如实记录违法失信行为，实施差异化监管等措施。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12</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银行间债券市场双边报价商审批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中国人民银行总行</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取消许可后，人民银行要通过以下措施加强监管：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1.建立健全做市业务激励约束机制，引导做市机构提升服务质量。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2.建立交易报告库，强化交易信息统计。发现虚假交易、对倒冲量等行为要采取必要的惩戒措施。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3.加强行业自律管理，支持银行间交易商协会以市场需求为导向，持续优化做市业务分层分类考评，并及时向市场披露。</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13</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企业银行账户开户许可证核发</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中国人民银行总行及其分支行</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取消许可后，人民银行要通过以下措施加强监管：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1.压实商业银行账户管理主体责任，督促商业银行在线核验企业登记注册、相关人员、纳税等信息，并按要求向人民银行及时、全面、准确推送企业银行账户信息。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通过“双随机、一公开”监管、重点监管等方式，加大对商业银行的执法检查力度，发现违法违规行为要依法查处并向社会公开结果。发现相关企业和个人买卖企业银行账户等违法违规行为的，要实施禁止新开户、暂停非柜面业务等惩戒措施，提高违法成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3.健全跨部门信息共享机制，探索运用高科技手段，提升事中事后监管效能。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14</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出口食品生产企业备案核准</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直属海关、隶属海关</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《中华人民共和国食品安全法》</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取消许可，改为备案。海关要通过以下措施加强监管：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1.健全出口食品生产企业备案制度，实现网上备案，方便企业办事。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2.加强海关与市场监管等部门之间的信息共享，充分利用海关通关数据和相关部门数据对备案信息进行校验核查。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3.做好与出口目的地国指定主管部门的衔接配合，通过“双随机、一公开”监管、信用监管等方式加强监管。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15</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从事进出境动植物检疫处理业务的人员资格许可</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直属海关、隶属海关</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《中华人民共和国进出境动植物检疫法实施条例》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取消许可后，海关要通过以下措施加强监管：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1.压实从事进出境动植物检疫处理业务单位的主体责任，由单位负责对从业人员进行培训和考核，确保从业人员掌握熏蒸、消毒技术规范和操作规程后方可上岗。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2.严格执行有关法律法规和标准，对检疫处理过程加强监督和指导，并出具相关证书。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3.依法实施信用监管，如实记录违法失信行为，实施差异化监管等措施，对发生严重违法行为的单位和人员实行行业禁入。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16</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与强制性认证有关的检查机构指定</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市场监管总局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《中华人民共和国认证认可条例》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取消许可后，市场监管总局要通过以下措施加强监管：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1.完善与强制性认证有关的检查活动的标准和规范，落实认证机构主体责任，充分发挥其对检查活动的监督作用。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2.通过投诉举报、日常监测、专项检查等方式，及时发现和纠正检查活动中的违法违规行为，依法追究法律责任。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17</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中央储备粮代储资格审批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国家粮食和储备局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《中央储备粮管理条例》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取消许可，改变管理方式，禁止中储粮集团公司直属企业以外的市场主体承储中央储备粮。粮食和储备部门要通过以下措施加强监管：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1.对于已取得中央储备粮代储资格的企业，许可证到期后自动失效。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2.开展“中央事权粮食政策执行和中央储备粮管理情况年度考核”，做好年度库存检查，确保中央储备粮数量真实、质量达标、储存安全。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开展“双随机、一公开”监管，利用信息化手段提升监管精准度和有效性，畅通投诉举报渠道，强化对中储粮集团公司及其直属企业的日常监管。发现违法违规行为要依法查处并向社会公开结果，发现涉嫌犯罪活动要及时移交有关机关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18</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林业质检机构资质认定</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国家林草局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《中华人民共和国标准化法实施条例》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取消许可后，林草部门和市场监管部门要通过以下措施加强监管：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市场监管总局规定或调整检验检测机构准入条件时，应征求国家林草局意见，体现林草部门关于林业质检机构的特别准入要求。新增或续期的林业质检机构直接向市场监管部门申请办理有关许可，市场监管部门审批时应征求同级林草部门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2.市场监管部门通过“双随机、一公开”监管、重点监管、信用监管等方式，对检验检测机构实施日常管理，发现违法违规行为要依法查处并向社会公开结果，涉及林业质检机构的还要及时推送至同级林草部门。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林草部门依法委托有关检验检测机构从事检验检测活动，并对检验检测活动进行监管，指导有关检验检测机构提升业务能力和管理水平。发现违法违规行为要及时通报有关市场监管部门，有关市场监管部门应当依法查处。</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19</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林木种子质量检验机构资质认定</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国家林草局、省级林草部门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《中华人民共和国种子法》</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取消许可后，林草部门和市场监管部门要通过以下措施加强监管：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市场监管总局规定或调整检验检测机构准入条件时，应征求国家林草局意见，体现林草部门关于林木种子质量检验机构的特别准入要求。新增或续期的林木种子质量检验机构直接向市场监管部门申请办理有关许可，市场监管部门审批时应征求同级林草部门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市场监管部门通过“双随机、一公开”监管、重点监管、信用监管等方式，对检验检测机构实施日常管理，发现违法违规行为要依法查处并向社会公开结果，涉及林木种子质量检验机构的还要及时推送至同级林草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林草部门依法委托有关检验检测机构从事检验检测活动，并对检验检测活动进行监管，指导有关检验检测机构提升业务能力和管理水平。发现违法违规行为要及时通报有关市场监管部门，有关市场监管部门应当依法查处。</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20</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草种质量检验机构资质认定</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《中华人民共和国种子法》</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取消许可后，林草部门和市场监管部门要通过以下措施加强监管：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市场监管总局规定或调整检验检测机构准入条件时，要征求国家林草局意见，体现林草部门关于草种质量检验机构的特别准入要求。新增草种质量检验机构直接向市场监管部门申请办理有关许可，市场监管部门审批时应征求同级林草部门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市场监管部门通过“双随机、一公开”监管、重点监管、信用监管等方式，对检验检测机构实施日常管理，发现违法违规行为要依法查处并向社会公开结果，涉及草种质量检验机构的还要及时推送至同级林草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林草部门依法委托有关检验检测机构从事检验检测活动，并对检验检测活动进行监管，指导有关检验检测机构提升业务能力和管理水平。发现违法违规行为要及时通报有关市场监管部门，有关市场监管部门应当依法查处。</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21</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草种进出口经营许可证审核（初审）</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《中华人民共和国种子法》</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取消初审后，林草部门要通过以下措施加强监管：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1.国家林草局严格实施“草种进出口经营许可证核发”，重新公布审批服务指南，推动实现网上办理，方便企业办事。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2.开展“双随机、一公开”监管，督促草种进出口企业落实标签、档案、质量管理等制度，畅通投诉举报渠道，发现违法违规行为要依法查处并向社会公开结果。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22</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外国人进入国家级环境保护自然保护区审批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《中华人民共和国自然保护区条例》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取消许可后，林草部门要通过以下措施加强监管：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1.加强对国家级自然保护区的日常监管，指导国家级自然保护区管理机构对进入保护区的外国人加强管理。发现违法违规行为要依法查处并向社会公开结果，发现涉嫌犯罪活动要及时移交有关机关处理。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2.严格实施猎捕野生动物、采伐或采集野生植物、出口野生动植物及其产品等方面的许可管理，防止资源流失。</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23</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外国人进入国家级海洋自然保护区审批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《中华人民共和国自然保护区条例》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取消许可后，林草部门和有关单位要通过以下措施加强监管：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加强对国家级自然保护区的日常监管，指导国家级自然保护区管理机构对进入保护区的外国人加强管理。发现外国人进入国家级海洋自然保护区从事违法违规活动的，由林草部门、中国海警局按职责分工依法查处并向社会公开结果，发现涉嫌犯罪活动要及时移交有关机关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2.严格实施猎捕野生动物、采伐或采集野生植物、出口野生动植物及其产品等方面的许可管理，防止资源流失。</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24</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外国人进入国家级渔业自然保护区审批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《中华人民共和国自然保护区条例》</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取消许可后，林草部门要通过以下措施加强监管：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1.加强对国家级自然保护区的日常监管，指导国家级自然保护区管理机构对进入保护区的外国人加强管理。发现违法违规行为要依法查处并向社会公开结果，发现涉嫌犯罪活动要及时移交有关机关处理。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2.严格实施猎捕野生动物、采伐或采集野生植物、出口野生动植物及其产品等方面的许可管理，防止资源流失。</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25</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在国家级自然保护区建立机构和修筑设施初审</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省级林草部门</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《森林和野生动物类型自然保护区管理办法》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《在国家级自然保护区修筑设施审批管理暂行办法》（原国家林业局令第50号）</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取消初审后，林草部门要通过以下措施加强监管：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1.国家林草局严格实施“在国家级自然保护区建立机构和修筑设施审批”，推动实现网上办理，方便企业办事。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2.国家林草局派出机构、省级林草部门、国家级自然保护区管理机构加大抽查、巡查力度，畅通投诉举报渠道，发现违法违规行为要依法查处并向社会公开结果。</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26</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非经营性通用航空登记核准</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中国民航局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《国务院关于通用航空管理的暂行规定》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取消许可，改为备案。民航部门和有关部门要通过以下措施加强监管：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建立健全非经营性通用航空备案制度。依法严格实施航空器适航管理和国籍登记、航空器驾驶员资质管理、航空电台执照管理、飞行计划管理、飞行过程监控管理等。健全安全监管体系，完善有关管理系统，推进低空飞行服务保障体系建设，加强跨部门信息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通过“双随机、一公开”监管、重点监管等方式加强监管，督促落实非经营性通用航空保险制度。加强民航部门与空管部门、公安机关的工作衔接，联合实施低空飞行安全监管，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3.依法实施信用监管，如实记录违法失信行为，实施差异化监管、行业禁入等措施。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27</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限额以下外商投资民航项目建议书和可行性研究报告审批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中国民航局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取消许可后，民航部门和有关部门要通过以下措施加强监管：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1.依法严格实施“规定权限内对新建、改建和扩建民用运输机场的审批和审核”、“民用机场使用许可证核发”、“公共航空运输企业经营许可”、“通用航空企业经营许可”等行政许可。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依法对影响或可能影响国家安全的外商投资项目进行外商投资安全审查，严格落实《外商投资准入特别管理措施（负面清单）》关于外商投资民用机场、公共航空运输公司、通用航空公司、机场塔台等的特别管理措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28</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经营境内邮政通信业务审批</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国家邮政局、省级邮政管理局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取消许可后，邮政部门要通过以下措施加强监管：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1.完善邮政企业委托第三方提供服务的管理制度，督促邮政企业落实主体责任，明确业务委托范围，保障邮件安全。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2.对邮政企业委托的第三方企业开展“双随机、一公开”监管，畅通投诉举报渠道，发现违法违规行为要依法查处并向社会公开结果。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3.依法实施信用监管，如实记录违法失信行为，发现严重违法行为要依法对有关企业和人员实行行业禁入。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4.如将来需要批准中国邮政集团公司以外的企业经营境内邮政通信业务，由国家邮政局按照党中央、国务院决策部署办理，并提出修改完善有关法律规定的建议。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38" w:type="dxa"/>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29</w:t>
            </w:r>
          </w:p>
        </w:tc>
        <w:tc>
          <w:tcPr>
            <w:tcW w:w="13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合格境外机构投资者投资额度、账户、资金汇出审批及外汇登记证核发</w:t>
            </w:r>
          </w:p>
        </w:tc>
        <w:tc>
          <w:tcPr>
            <w:tcW w:w="1296"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国家外汇局</w:t>
            </w:r>
          </w:p>
        </w:tc>
        <w:tc>
          <w:tcPr>
            <w:tcW w:w="1620"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《国务院对确需保留的行政审批项目设定行政许可的决定》</w:t>
            </w:r>
          </w:p>
        </w:tc>
        <w:tc>
          <w:tcPr>
            <w:tcW w:w="409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取消许可后，外汇部门要会同有关部门通过以下措施加强监管：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1.优化宏观审慎管理，探索完善价格型宏观审慎管理手段，逆周期调控相关资金跨境流动。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2.强化外汇登记和监管，实现境外机构投资者汇兑行为全过程留痕，加强资金跨境流动风险监测和预警，完善风险应对预案，防范异常跨境资金大规模集中流动风险。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bdr w:val="none" w:color="auto" w:sz="0" w:space="0"/>
              </w:rPr>
              <w:t>3.加强多部门协同配合的市场监测和管理，及时发现和处置跨市场异常交易行为，对情节严重的要依法采取限制账户交易、限制资金进出等措施。发现违法违规行为要依法查处并向社会公开结果。</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1100E"/>
    <w:rsid w:val="6B111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2020-11-23T02:08:00Z</dcterms:created>
  <dc:creator>硕鑫咨询技术部13309288763</dc:creator>
  <cp:lastModifiedBy>硕鑫咨询技术部13309288763</cp:lastModifiedBy>
  <dcterms:modified xsi:type="dcterms:W3CDTF">2020-11-23T02:14:41Z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