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caps w:val="0"/>
          <w:color w:val="333333"/>
          <w:spacing w:val="0"/>
          <w:sz w:val="21"/>
          <w:szCs w:val="21"/>
        </w:rPr>
      </w:pPr>
      <w:r>
        <w:rPr>
          <w:rFonts w:hint="default" w:ascii="Calibri" w:hAnsi="Calibri" w:eastAsia="宋体" w:cs="Calibri"/>
          <w:i w:val="0"/>
          <w:caps w:val="0"/>
          <w:color w:val="333333"/>
          <w:spacing w:val="0"/>
          <w:sz w:val="21"/>
          <w:szCs w:val="21"/>
          <w:shd w:val="clear" w:fill="FFFFFF"/>
        </w:rPr>
        <w:t> </w:t>
      </w:r>
      <w:r>
        <w:rPr>
          <w:rFonts w:hint="eastAsia" w:ascii="宋体" w:hAnsi="宋体" w:eastAsia="宋体" w:cs="宋体"/>
          <w:b/>
          <w:i w:val="0"/>
          <w:caps w:val="0"/>
          <w:color w:val="333333"/>
          <w:spacing w:val="0"/>
          <w:sz w:val="24"/>
          <w:szCs w:val="24"/>
          <w:shd w:val="clear" w:fill="FFFFFF"/>
        </w:rPr>
        <w:t>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shd w:val="clear" w:fill="FFFFFF"/>
        </w:rPr>
        <w:br w:type="textWrapping"/>
      </w:r>
      <w:bookmarkStart w:id="0" w:name="_GoBack"/>
      <w:r>
        <w:rPr>
          <w:rFonts w:hint="eastAsia" w:ascii="宋体" w:hAnsi="宋体" w:eastAsia="宋体" w:cs="宋体"/>
          <w:b/>
          <w:i w:val="0"/>
          <w:caps w:val="0"/>
          <w:color w:val="333333"/>
          <w:spacing w:val="0"/>
          <w:sz w:val="36"/>
          <w:szCs w:val="36"/>
          <w:shd w:val="clear" w:fill="FFFFFF"/>
        </w:rPr>
        <w:t>国务院决定下放审批层级的行政许可事项目录</w:t>
      </w:r>
      <w:r>
        <w:rPr>
          <w:rFonts w:hint="eastAsia" w:ascii="宋体" w:hAnsi="宋体" w:eastAsia="宋体" w:cs="宋体"/>
          <w:i w:val="0"/>
          <w:caps w:val="0"/>
          <w:color w:val="333333"/>
          <w:spacing w:val="0"/>
          <w:sz w:val="24"/>
          <w:szCs w:val="24"/>
          <w:shd w:val="clear" w:fill="FFFFFF"/>
        </w:rPr>
        <w:br w:type="textWrapping"/>
      </w:r>
      <w:bookmarkEnd w:id="0"/>
      <w:r>
        <w:rPr>
          <w:rFonts w:ascii="楷体" w:hAnsi="楷体" w:eastAsia="楷体" w:cs="楷体"/>
          <w:i w:val="0"/>
          <w:caps w:val="0"/>
          <w:color w:val="333333"/>
          <w:spacing w:val="0"/>
          <w:sz w:val="24"/>
          <w:szCs w:val="24"/>
          <w:shd w:val="clear" w:fill="FFFFFF"/>
        </w:rPr>
        <w:t>（共4项）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tbl>
      <w:tblPr>
        <w:tblStyle w:val="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62"/>
        <w:gridCol w:w="1200"/>
        <w:gridCol w:w="1236"/>
        <w:gridCol w:w="1188"/>
        <w:gridCol w:w="1308"/>
        <w:gridCol w:w="3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62"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序号</w:t>
            </w:r>
          </w:p>
        </w:tc>
        <w:tc>
          <w:tcPr>
            <w:tcW w:w="1200"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事项名称</w:t>
            </w:r>
          </w:p>
        </w:tc>
        <w:tc>
          <w:tcPr>
            <w:tcW w:w="1236"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部门</w:t>
            </w:r>
          </w:p>
        </w:tc>
        <w:tc>
          <w:tcPr>
            <w:tcW w:w="118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设定依据</w:t>
            </w:r>
          </w:p>
        </w:tc>
        <w:tc>
          <w:tcPr>
            <w:tcW w:w="130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下放后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审批部门</w:t>
            </w:r>
          </w:p>
        </w:tc>
        <w:tc>
          <w:tcPr>
            <w:tcW w:w="3377"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rPr>
              <w:t>加强事中事后监管措施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62"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rPr>
              <w:t>1</w:t>
            </w:r>
          </w:p>
        </w:tc>
        <w:tc>
          <w:tcPr>
            <w:tcW w:w="1200"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出口国家重点保护的农业野生植物或进出口中国参加的国际公约限制进出口的农业野生植物审批</w:t>
            </w:r>
          </w:p>
        </w:tc>
        <w:tc>
          <w:tcPr>
            <w:tcW w:w="1236"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农业农村部</w:t>
            </w:r>
          </w:p>
        </w:tc>
        <w:tc>
          <w:tcPr>
            <w:tcW w:w="118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《中华人民共和国野生植物保护条例》</w:t>
            </w:r>
          </w:p>
        </w:tc>
        <w:tc>
          <w:tcPr>
            <w:tcW w:w="130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省级农业农村部门</w:t>
            </w:r>
          </w:p>
        </w:tc>
        <w:tc>
          <w:tcPr>
            <w:tcW w:w="3377"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下放后，取消省级农业农村部门负责实施的初审。农业农村部门要通过以下措施加强监管：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1.省级农业农村部门严格实施许可，加强对出口国家重点保护的农业野生植物和进出口我国参加的国际公约限制进出口的农业野生植物的监管。农业农村部要加强对省级农业农村部门有关工作的指导和监督。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2.加强跨部门、跨层级的信息共享，省级农业农村部门要及时将许可信息推送至农业农村部、国家林草局（国家濒危物种进出口管理机构）、海关等部门。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3.通过“双随机、一公开”监管、信用监管等方式加大执法监督力度，发现违法违规行为要依法查处并向社会公开结果。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62"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rPr>
              <w:t>2</w:t>
            </w:r>
          </w:p>
        </w:tc>
        <w:tc>
          <w:tcPr>
            <w:tcW w:w="1200"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成品油零售经营资格审批</w:t>
            </w:r>
          </w:p>
        </w:tc>
        <w:tc>
          <w:tcPr>
            <w:tcW w:w="1236"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省级商务部门</w:t>
            </w:r>
          </w:p>
        </w:tc>
        <w:tc>
          <w:tcPr>
            <w:tcW w:w="118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《国务院对确需保留的行政审批项目设定行政许可的决定》</w:t>
            </w:r>
          </w:p>
        </w:tc>
        <w:tc>
          <w:tcPr>
            <w:tcW w:w="130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设区的市级人民政府指定部门</w:t>
            </w:r>
          </w:p>
        </w:tc>
        <w:tc>
          <w:tcPr>
            <w:tcW w:w="3377"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下放后，设区的市级人民政府指定部门（以下简称指定部门）要会同有关部门通过以下措施加强监管：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1.指定部门严格落实成品油流通行业监管职责。要求成品油零售企业建立购销台账制度，完善油品来源、检验报告、检查记录等凭证材料档案。指定部门开展“双随机、一公开”监管，重点检查企业台账制度建立执行情况，发现违法违规行为依法处理或者提请有关部门予以查处。结合企业诚信经营和风险状况依法实施差异化监管。支持行业协会发挥行业自律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2.地方政府严格落实属地监管职责。设区的市级人民政府要建立跨部门联合监管机制，按照综合行政执法改革精神，统筹配置行政处罚职能和执法资源，加强协同监管。建立投诉举报制度，定期组织开展对成品油零售企业的专项检查，发现违法违规行为由各有关部门按职责依法依规查处。建立企业信用记录并纳入全国信用信息共享平台，对违法失信企业依法实施失信惩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3.相关部门严格落实专项监管职责。从事成品油零售经营活动的企业必须符合自然资源、规划、建设、质量计量、环保、安全生产、消防、治安反恐、商务、税务、交通运输、气象等方面法律法规和标准要求，依法依规开展经营。公安、自然资源、生态环境、住房城乡建设、交通运输、商务、应急管理、税务、市场监管、能源等部门按职责依法依规加强监管，承担安全生产监管责任的部门切实履行监管责任、守牢安全底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4.加强成品油零售行业监管信息共享运用。市场监管部门要及时将新登记经营范围涉及成品油零售的企业信息推送至有关主管部门。商务部门要将改革前已取得相应许可的成品油零售企业信息推送至有关主管部门。指定部门要将行业监管中发现的超经营范围经营企业信息或者无照经营信息及时推送至有关主管部门。各有关主管部门要充分运用共享的监管信息，有针对性地加强监管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62"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rPr>
              <w:t>3</w:t>
            </w:r>
          </w:p>
        </w:tc>
        <w:tc>
          <w:tcPr>
            <w:tcW w:w="1200"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县级广播电台、电视台变更台名、节目设置范围或节目套数审批</w:t>
            </w:r>
          </w:p>
        </w:tc>
        <w:tc>
          <w:tcPr>
            <w:tcW w:w="1236"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广电总局</w:t>
            </w:r>
          </w:p>
        </w:tc>
        <w:tc>
          <w:tcPr>
            <w:tcW w:w="118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《广播电视管理条例》</w:t>
            </w:r>
          </w:p>
        </w:tc>
        <w:tc>
          <w:tcPr>
            <w:tcW w:w="130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省级广电部门</w:t>
            </w:r>
          </w:p>
        </w:tc>
        <w:tc>
          <w:tcPr>
            <w:tcW w:w="3377"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下放后，广电部门要通过以下措施加强监管：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1.省级广电部门在规定时限内将审批情况推送至广电总局，并向社会公示辖区内县级广播电台、电视台频道开办情况。广电总局要加强对省级广电部门的工作指导和监督。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2.完善技术监管措施，对广播电台、电视台节目播出情况进行实时监管，制定应急预案并及时处理突发事件。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3.通过“双随机、一公开”监管、信用监管等方式，加大执法监督力度，发现违法违规行为要依法查处并向社会公开结果。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62"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rPr>
              <w:t>4</w:t>
            </w:r>
          </w:p>
        </w:tc>
        <w:tc>
          <w:tcPr>
            <w:tcW w:w="1200"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设区的市、县级地方新闻单位的信息网络传播视听节目许可证核发</w:t>
            </w:r>
          </w:p>
        </w:tc>
        <w:tc>
          <w:tcPr>
            <w:tcW w:w="1236"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广电总局</w:t>
            </w:r>
          </w:p>
        </w:tc>
        <w:tc>
          <w:tcPr>
            <w:tcW w:w="118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《国务院对确需保留的行政审批项目设定行政许可的决定》</w:t>
            </w:r>
          </w:p>
        </w:tc>
        <w:tc>
          <w:tcPr>
            <w:tcW w:w="1308"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省级广电部门</w:t>
            </w:r>
          </w:p>
        </w:tc>
        <w:tc>
          <w:tcPr>
            <w:tcW w:w="3377" w:type="dxa"/>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下放后，广电部门要通过以下措施加强监管：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rPr>
              <w:t>1.建立健全审批情况信息共享、节目报备和重大事项报告等制度，将设区的市、县级地方新闻单位播出的网络视听节目纳入网络视听节目管理系统。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sz w:val="21"/>
                <w:szCs w:val="21"/>
              </w:rPr>
            </w:pPr>
            <w:r>
              <w:rPr>
                <w:rFonts w:hint="eastAsia" w:ascii="宋体" w:hAnsi="宋体" w:eastAsia="宋体" w:cs="宋体"/>
                <w:sz w:val="20"/>
                <w:szCs w:val="20"/>
              </w:rPr>
              <w:t>2.指导督促新闻单位建立健全总编辑负责、节目播前审查、重要节目播出管理等制度。将有关节目纳入各级广播电视和网络视听监测监管平台，加强内容监管。发现违反规定造成重大事故的要严肃处理。</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shd w:val="clear" w:fill="FFFFFF"/>
        </w:rPr>
        <w:t> </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C479D8"/>
    <w:rsid w:val="43C4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2020-11-23T02:13:00Z</dcterms:created>
  <dc:creator>硕鑫咨询技术部13309288763</dc:creator>
  <cp:lastModifiedBy>硕鑫咨询技术部13309288763</cp:lastModifiedBy>
  <dcterms:modified xsi:type="dcterms:W3CDTF">2020-11-23T02:13:48Z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