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ind w:left="0" w:firstLine="420"/>
        <w:jc w:val="center"/>
      </w:pPr>
      <w:bookmarkStart w:id="0" w:name="_GoBack"/>
      <w:r>
        <w:t xml:space="preserve">长武县国民经济和社会发展第十四个五年规划和二〇三五年远景目标纲要 </w:t>
      </w:r>
    </w:p>
    <w:bookmarkEnd w:id="0"/>
    <w:p>
      <w:pPr>
        <w:pStyle w:val="2"/>
        <w:keepNext w:val="0"/>
        <w:keepLines w:val="0"/>
        <w:widowControl/>
        <w:suppressLineNumbers w:val="0"/>
        <w:ind w:left="0" w:firstLine="420"/>
        <w:jc w:val="center"/>
      </w:pPr>
      <w:r>
        <w:t xml:space="preserve">（2021年2月3日长武县第十八届人民 </w:t>
      </w:r>
    </w:p>
    <w:p>
      <w:pPr>
        <w:pStyle w:val="2"/>
        <w:keepNext w:val="0"/>
        <w:keepLines w:val="0"/>
        <w:widowControl/>
        <w:suppressLineNumbers w:val="0"/>
        <w:ind w:left="0" w:firstLine="420"/>
        <w:jc w:val="center"/>
      </w:pPr>
      <w:r>
        <w:t xml:space="preserve">代表大会第五次会议批准） </w:t>
      </w:r>
    </w:p>
    <w:p>
      <w:pPr>
        <w:pStyle w:val="2"/>
        <w:keepNext w:val="0"/>
        <w:keepLines w:val="0"/>
        <w:widowControl/>
        <w:suppressLineNumbers w:val="0"/>
        <w:ind w:left="0" w:firstLine="420"/>
      </w:pPr>
      <w:r>
        <w:t xml:space="preserve">第一章  发展基础和面临环境 </w:t>
      </w:r>
    </w:p>
    <w:p>
      <w:pPr>
        <w:pStyle w:val="2"/>
        <w:keepNext w:val="0"/>
        <w:keepLines w:val="0"/>
        <w:widowControl/>
        <w:suppressLineNumbers w:val="0"/>
        <w:ind w:left="0" w:firstLine="420"/>
        <w:jc w:val="both"/>
      </w:pPr>
      <w:r>
        <w:t xml:space="preserve">“十三五”以来，面对错综复杂的国内外环境、持续加大的经济下行压力、艰巨繁重的发展改革稳定任务，特别是新冠肺炎疫情带来的严重冲击，全县上下坚持以习近平新时代中国特色社会主义思想为指导，认真贯彻落实党的十九大和十九届二中、三中、四中、五中全会精神以及中、省、市决策部署，统筹推进“五位一体”总体布局，协调推进“四个全面”战略布局，坚持稳中求进工作总基调，坚持新发展理念，坚持推进高质量发展，坚持以供给侧结构性改革为主线，以改革开放为动力，紧扣追赶超越定位，践行“五个扎实”要求，落实“五新”战略任务，统筹推进稳增长、促改革、调结构、惠民生、防风险、保稳定各项工作，直面挑战，砥砺前行，“十三五”规划目标基本实现，经济社会保持稳中有进、长期向好的发展态势，决胜全面建成小康社会取得决定性成就。先后荣获全国绿化模范县、国家电子商务进农村综合示范县、国家级节水型社会建设达标县等多项国字号荣誉和全省平安建设示范县、全省县城建设先进县、全省脱贫攻坚工作先进县、全省“四好农村路”示范县、全省科技特派员工作组织管理先进县、全省结核病防治工作先进县等十多项省级荣誉。 </w:t>
      </w:r>
    </w:p>
    <w:p>
      <w:pPr>
        <w:pStyle w:val="2"/>
        <w:keepNext w:val="0"/>
        <w:keepLines w:val="0"/>
        <w:widowControl/>
        <w:suppressLineNumbers w:val="0"/>
        <w:ind w:left="0" w:firstLine="420"/>
        <w:jc w:val="both"/>
      </w:pPr>
      <w:r>
        <w:t xml:space="preserve">一、“十三五”取得的主要成就 </w:t>
      </w:r>
    </w:p>
    <w:p>
      <w:pPr>
        <w:pStyle w:val="2"/>
        <w:keepNext w:val="0"/>
        <w:keepLines w:val="0"/>
        <w:widowControl/>
        <w:suppressLineNumbers w:val="0"/>
        <w:ind w:left="0" w:firstLine="420"/>
        <w:jc w:val="both"/>
      </w:pPr>
      <w:r>
        <w:t xml:space="preserve">——综合实力再攀新高。坚持发展第一要务不动摇，着眼于提高县域综合实力，抓经济“裂变”扩总量，抓产业“聚变”强筋骨，主要经济指标平稳较快增长。2020年，实现地区生产总值99.15亿元，年均增长13%；人均GDP达到55954元，高出全市平均水平4954元，年均增长6.8%；地方财政收入6.3亿元，总量排名全市第三，年均增长12.4%；全社会固定资产投资116.14亿元，年均增长3.2%；社会消费品零售总额26.28亿元，年均增长11.7%；农业总产值34.4亿元，年均增长2.3%；工业总产值123.5亿元，年均增长8.1%，其中规上工业总产值117.1亿元，年均增长8.4%；服务业增加值21.99亿元，年均增长16.8%。三次产业结构由“十二五”末的22.2:62.6:15.2调整到18.8:59:22.2，服务业对经济贡献率大幅提升。现代农业持续壮大。粮食实现“五连丰”，总产稳定在5万吨以上。苹果面积达到25万亩，优果率较“十二五”末提高9个百分点，年产值稳定在15亿元以上。设施蔬菜、中药材、食用菌、花椒等特色种植业规模稳步扩大。发展规模养殖场30家，肉驴、牛、羊等大家畜存栏达到1.1万头，肉、蛋产量分别较“十二五”末提高6%、5%。建成市级以上现代农业示范园区17个，培育市级以上农业龙头企业14家，发展农民专业合作社588个。工业经济更加多元。五里铺工业园区和煤电工业园区被列入陕西省重点建设县域工业园区。亭南煤矿、胡家河煤矿、高家堡煤矿达产达效，孟村煤矿初步建成，杨家坪煤矿盘活重启，原煤产能较“十二五”末增长110%；累计生产原煤7062.9万吨、发电250.22亿度、生产甲醇290.9万吨，煤炭就地转化率达到18.3%，形成“五煤一电两化工”的工业发展格局。锂电池、服饰加工、管材制造等一批重点非煤工业项目建成运营，非公经济占GDP比重从“十二五”末的47.3%增加至50.22%。第三产业繁荣发展。限额以上商贸流通企业达到36家，较“十二五”末增加140%。建成红星森林公园、丁家十里铺丝路古驿、青龙山乡村生态旅游景区等一批具有地域特色的精品景点，全县旅游收入超过12亿元，习仲勋革命活动旧址被评定为国家AAA级景区。在公益中行、寻秦集、淘宝等平台开设店铺220多个，年线上交易额突破1.5亿元。深入推进“发展小微企业、做强中小企业、推动大众创业”三大工程，中小企业孵化园、电子商务产业园建成运行，个体工商户、私营企业总量分别达到5219户、1486家，服务业增加值占GDP比重从“十二五”末的15.2%上升至22.2%。 </w:t>
      </w:r>
    </w:p>
    <w:p>
      <w:pPr>
        <w:pStyle w:val="2"/>
        <w:keepNext w:val="0"/>
        <w:keepLines w:val="0"/>
        <w:widowControl/>
        <w:suppressLineNumbers w:val="0"/>
        <w:ind w:left="0" w:firstLine="420"/>
        <w:jc w:val="center"/>
      </w:pPr>
      <w:r>
        <w:t xml:space="preserve">图1  “十三五”期间生产总值及增速变化情况（亿元） </w:t>
      </w:r>
    </w:p>
    <w:p>
      <w:pPr>
        <w:pStyle w:val="2"/>
        <w:keepNext w:val="0"/>
        <w:keepLines w:val="0"/>
        <w:widowControl/>
        <w:suppressLineNumbers w:val="0"/>
        <w:ind w:left="0" w:firstLine="420"/>
        <w:jc w:val="center"/>
      </w:pPr>
      <w:r>
        <w:drawing>
          <wp:inline distT="0" distB="0" distL="114300" distR="114300">
            <wp:extent cx="4543425" cy="3314700"/>
            <wp:effectExtent l="0" t="0" r="13335" b="762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4543425" cy="3314700"/>
                    </a:xfrm>
                    <a:prstGeom prst="rect">
                      <a:avLst/>
                    </a:prstGeom>
                    <a:noFill/>
                    <a:ln w="9525">
                      <a:noFill/>
                    </a:ln>
                  </pic:spPr>
                </pic:pic>
              </a:graphicData>
            </a:graphic>
          </wp:inline>
        </w:drawing>
      </w:r>
    </w:p>
    <w:p>
      <w:pPr>
        <w:pStyle w:val="2"/>
        <w:keepNext w:val="0"/>
        <w:keepLines w:val="0"/>
        <w:widowControl/>
        <w:suppressLineNumbers w:val="0"/>
        <w:ind w:left="0" w:firstLine="420"/>
        <w:jc w:val="center"/>
      </w:pPr>
      <w:r>
        <w:t xml:space="preserve">图2  “十三五”期间规模工业增加值变化情况（亿元）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14900" cy="3438525"/>
            <wp:effectExtent l="0" t="0" r="7620" b="571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4914900" cy="3438525"/>
                    </a:xfrm>
                    <a:prstGeom prst="rect">
                      <a:avLst/>
                    </a:prstGeom>
                    <a:noFill/>
                    <a:ln w="9525">
                      <a:noFill/>
                    </a:ln>
                  </pic:spPr>
                </pic:pic>
              </a:graphicData>
            </a:graphic>
          </wp:inline>
        </w:drawing>
      </w:r>
    </w:p>
    <w:p>
      <w:pPr>
        <w:pStyle w:val="2"/>
        <w:keepNext w:val="0"/>
        <w:keepLines w:val="0"/>
        <w:widowControl/>
        <w:suppressLineNumbers w:val="0"/>
        <w:ind w:left="0" w:firstLine="420"/>
        <w:jc w:val="center"/>
      </w:pPr>
      <w:r>
        <w:t xml:space="preserve">图3  “十三五”期间三次产业结构变化情况 </w:t>
      </w:r>
    </w:p>
    <w:p>
      <w:pPr>
        <w:pStyle w:val="2"/>
        <w:keepNext w:val="0"/>
        <w:keepLines w:val="0"/>
        <w:widowControl/>
        <w:suppressLineNumbers w:val="0"/>
        <w:ind w:left="0" w:firstLine="420"/>
        <w:jc w:val="center"/>
      </w:pPr>
      <w:r>
        <w:drawing>
          <wp:inline distT="0" distB="0" distL="114300" distR="114300">
            <wp:extent cx="3343275" cy="2476500"/>
            <wp:effectExtent l="0" t="0" r="9525" b="762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3343275" cy="2476500"/>
                    </a:xfrm>
                    <a:prstGeom prst="rect">
                      <a:avLst/>
                    </a:prstGeom>
                    <a:noFill/>
                    <a:ln w="9525">
                      <a:noFill/>
                    </a:ln>
                  </pic:spPr>
                </pic:pic>
              </a:graphicData>
            </a:graphic>
          </wp:inline>
        </w:drawing>
      </w:r>
      <w:r>
        <w:drawing>
          <wp:inline distT="0" distB="0" distL="114300" distR="114300">
            <wp:extent cx="3162300" cy="2457450"/>
            <wp:effectExtent l="0" t="0" r="7620" b="1143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3162300" cy="2457450"/>
                    </a:xfrm>
                    <a:prstGeom prst="rect">
                      <a:avLst/>
                    </a:prstGeom>
                    <a:noFill/>
                    <a:ln w="9525">
                      <a:noFill/>
                    </a:ln>
                  </pic:spPr>
                </pic:pic>
              </a:graphicData>
            </a:graphic>
          </wp:inline>
        </w:drawing>
      </w:r>
    </w:p>
    <w:p>
      <w:pPr>
        <w:pStyle w:val="2"/>
        <w:keepNext w:val="0"/>
        <w:keepLines w:val="0"/>
        <w:widowControl/>
        <w:suppressLineNumbers w:val="0"/>
        <w:ind w:left="0" w:firstLine="420"/>
        <w:jc w:val="both"/>
      </w:pPr>
      <w:r>
        <w:t xml:space="preserve">——“三大攻坚战”战果丰硕。“十三五”期间，认真落实中、省、市决策部署，把打好“三大攻坚战”作为重中之重，扛起政治责任，坚持问题导向，紧盯薄弱环节，全力以赴推进，各项工作取得明显成效。脱贫攻坚战取得决定性胜利。按照“五到五化”工作模式，狠抓“三精准、三保障、三落实”，整合苏陕、高校、合力团、公益中行等社会扶贫资源，矢志不渝打赢脱贫攻坚战。全县92个贫困村全部出列，现行标准下9128户31900名建档立卡户全部脱贫，2018年整县脱贫摘帽，“两不愁三保障”全面实现，贫困发生率由2014年的18.99%降至2020年底的0，如期完成新时代脱贫攻坚任务。整合涉农资金8.28亿元（县本级财政投入1.39亿元），推动“八个一批”等扶贫政策落地落实，带动贫困村和贫困户受益脱贫。明确“3+N”产业发展方向，建立“四个一”产业脱贫路径和“五种利益联结模式”，推进苹果、核桃、设施蔬菜、食用菌、中药材、蛋鸡、肉驴以及光伏等产业提质增效，形成县有主导产业引领、镇有特色产业支撑、村有集体经济联结、户有长短产业保障的产业扶贫格局；金融扶贫成效显著，累计发放扶贫小额信贷资金1.21亿元，获贷率位居全市前列；通过扶贫公益岗位、社区工厂（扶贫车间）、转移就业等方式，确保建档立卡贫困劳动力实现灵活就业；扎实推进消费扶贫，通过国家认定扶贫企业27家127个产品，扶贫产品销售总额超过1.5亿元。着眼安全住房有保障，764户易地扶贫搬迁对象和875户危房改造对象全部入住新居，农村群众安全住房全面达标；全面保障就学、就医，落实控辍保学和各学段贫困家庭学生资助政策，保障适龄儿童少年不因贫困失学辍学。建档立卡户参保率、慢病签约服务率、大病集中救治率均达到100%。织密筑牢农村低保、特困人员供养、临时救助、孤儿基本生活保障、社会救助、残疾人“两项补贴”民生保障“六张网”，坚决兜住贫困群众基本生活底线，全面实现住有所居、学有所教、病有所医、困有所帮。基础设施全面达标，全域覆盖、普惠共享、城乡一体的基础设施和公共服务网络逐步建立。污染防治攻坚战取得突破性进展。聚焦“蓝天、碧水、青山、净土”四场保卫战，全面落实河长制、湖长制、林长制，疏堵结合整治污染，广泛开展植绿增绿，生态品质全面提升。聚焦“工、煤、车、尘、燃”等主要污染源，扎实开展铁腕治霾“1+3+34”专项行动，生态环境网格化监管体系全面建立，完成农村冬季清洁取暖改造26075户，PM2.5、PM10等指标持续向好，空气优良天数逐年递增，空气质量指数稳居关中地区前五。深入开展河道“清四乱”工作，泾河一期治理工程全面完工，境内主要河流水质稳定达到Ⅲ类标准，县界断面水质明显改善。扎实开展“清废”专项行动，全方位加强土壤污染修复和土地整治，未发生一起土壤环境污染事件。连续5年实施“生态文明建设十大工程”，累计完成营造林20万亩，绿化道路150公里，森林覆盖率达到37.3%，较“十二五”末增加2.5个百分点。防范化解重大风险取得阶段性成效。落实风险隐患排查预警、源头稳控和依法处置措施，守牢不发生系统性风险的底线。聚焦行业治理、民间融资、网络借贷，扎实开展防范处置非法金融风险专项行动，严厉打击非法集资、“套路贷”等违法犯罪活动和房地产企业违规行为；加强政府债务限额管理，严控新增债务，化解存量债务，金融风险、政府债务风险、社会风险得到有效管控。 </w:t>
      </w:r>
    </w:p>
    <w:p>
      <w:pPr>
        <w:pStyle w:val="2"/>
        <w:keepNext w:val="0"/>
        <w:keepLines w:val="0"/>
        <w:widowControl/>
        <w:suppressLineNumbers w:val="0"/>
        <w:ind w:left="0" w:firstLine="420"/>
        <w:jc w:val="both"/>
      </w:pPr>
      <w:r>
        <w:t xml:space="preserve">——城乡面貌焕然一新。坚持以扮靓陕西“西大门”为目标，致力于打造陕西向西开放的富裕之门、形象之门、绿色之门，推进城乡一体，促进产城融合，坚持建管并重、共建共享，增强经济社会发展底蕴。城市承载能力不断增强。按照“精致、人文、生态、宜居”的思路，累计实施城市建设项目48个，城市承载能力和公共服务水平显著增强。县城污水处理厂二期项目建成运行，污水日处理能力翻番。全市最大的县级应急避难广场投入使用，县城集中供热实现全覆盖，朝阳二路、育才路、建苑巷等重点城市街道建成通车，城区面积从“十二五”末的8平方公里扩大到10平方公里。历史上最大的北大街棚户区改造项目顺利实施，打通群众多年期盼解决的“断头路”，突破制约新老城区一体贯通、协同发展的最大瓶颈。润中清洁能源卫生防护区居民搬迁全面完成。新开发商住小区14个，新建商品住房7115套，人均住房面积达到34.25平方米，较“十二五”末增加了1.25平方米。新开通4条公交线路，城镇人口达到7.3万人，城镇化率由“十二五”末的35.9%提高到41%。城镇辐射带动能力明显提高。以亭口、丁家国家级重点镇建设为龙头，扎实推进昭仁、丁家、彭公三个“综合示范区”和亭口、巨家、洪家、相公、枣园五个“优美小镇”建设，大力实施镇区基础设施“五个一工程”，亭口镇成为咸阳唯一的全国特色小镇。累计建成二级公路27.4公里、三级公路45.4公里，长枣、长彭、冉相、长相等主干道路相继建成通车，县域内“三纵两横两连环”路网布局初步形成。治理水土流失面积220.15平方公里，12.88万人饮水安全问题得到解决。亭口污水处理厂正式运行，建成镇村污水处理设施13个、垃圾填埋场5个。建成气化站4座、调峰站1座，铺设中低压管网26公里，城镇气化率达到60%。乡村公共服务能力大幅提升。开展农村基础设施建设和公共服务水平提升三年（2017-2019）行动，着力补齐农村水、电、路、讯等基础设施短板。133个行政村全部通沥青路或水泥路，农村自来水普及率从“十二五”末的95%提高到99.8%。电力入户率达到100%。大力实施“厕所革命”，改造卫生厕所3200户，建成美丽乡村54个。首个5G基站正式开通，群众生产生活更加便捷。深入开展农村人居环境整治，村容村貌大为改观。亭口镇宇家山村被评为全国改善农村人居环境基本保障型示范村，枣园镇田惠村、洪家镇曹公村、丁家镇十里铺村、亭口镇柴厂村及二厂村被评为全省美丽宜居示范村。 </w:t>
      </w:r>
    </w:p>
    <w:p>
      <w:pPr>
        <w:pStyle w:val="2"/>
        <w:keepNext w:val="0"/>
        <w:keepLines w:val="0"/>
        <w:widowControl/>
        <w:suppressLineNumbers w:val="0"/>
        <w:ind w:left="0" w:firstLine="420"/>
        <w:jc w:val="both"/>
      </w:pPr>
      <w:r>
        <w:t xml:space="preserve">——民生福祉不断增进。牢固树立以人民为中心的发展思想，坚持“两个80%”用于保障和改善民生不动摇，积极回应群众关切，着力解决群众烦心事、操心事。“十三五”期间，民生领域支出达到79.8亿元，占财政总支出的86.6%。群众获得感持续提升。城乡居民收入保持高速增长，城镇居民收入增速连续五年稳居全市第一，农村居民收入增速连续五年高于城镇居民。城乡居民人均可支配收入分别达到35539元、11562元，年均增长8%、8.9%。累计实现劳动力转移就业17.5万人（次），城镇登记失业率始终控制在3.7%以内。城乡居民养老保险参保率达到98%，实现同步发放、同步增长。城乡居民基本医疗保险参保率达到95%以上，县域内群众住院合规费用报销比例达到80%以上。开通农村班线16条，投放客车84辆，农村“乘车难”“出行难”问题得到有效解决。建设保障性住房380套，分配入住公租房210套。残疾人补贴、特困供养、低保、临时救助等政策措施全面落实，生活无着落、流浪乞讨人员救助管理服务水平不断提升，困难群体生活得到妥善安置。群众幸福感持续提升。实验小学、亭口中心小学、恒大小学等省级标准化小学和实验幼儿园建成投用，各类学校全面消除大班额；42所学校基础网络、教育云平台、校园安防工程全面启用，实施中小学和幼儿园取暖改造工程81处，教育教学质量显著提升，顺利通过国家义务教育基本均衡县验收。县中医院和妇计中心搬迁运行，群众就医条件显著改善；医药卫生体制改革持续深化，分级诊疗、药品供应等制度更加健全，医联体、医共体和村医队伍建设成效显著，县域内就诊率达到90%，较“十二五”末提高3.79个百分点。县镇村三级退役军人服务保障机构全部建立，“双拥”氛围更加浓厚。成功创建“陕西省诗词之乡”，二轮《长武县志》《讲长武精彩故事》出版发行，电视剧《岁岁年年柿柿红》在央视热播；“两馆一院”、全民健身中心等项目顺利推进，建成县级文体广场3处、镇级综合文化站8个，村级文化活动室、文体广场137个，率先在咸阳地区实现农家书屋全覆盖。群众安全感持续提升。深入推进平安长武建设，扎实开展“七五”普法，法治观念深入人心，彭公镇孝村被授予“全国民主法治示范村”称号。持续深化扫黑除恶专项斗争，聚焦“破案攻坚、打伞破网、打财断血、综合治理”四个重点，依法打掉恶势力犯罪集团和团伙4个。深化“枫桥经验”的长武实践，依法推进“诉源治理”工作，一批群众反映强烈、社会关注度高的突出信访问题得到妥善化解。严格落实安全生产责任制，突出抓好煤矿、交通、食品药品等领域安全监管，未发生一起较大安全生产事故，社会大局和谐稳定。 </w:t>
      </w:r>
    </w:p>
    <w:p>
      <w:pPr>
        <w:pStyle w:val="2"/>
        <w:keepNext w:val="0"/>
        <w:keepLines w:val="0"/>
        <w:widowControl/>
        <w:suppressLineNumbers w:val="0"/>
        <w:ind w:left="0" w:firstLine="420"/>
        <w:jc w:val="center"/>
      </w:pPr>
      <w:r>
        <w:t xml:space="preserve">图4  “十三五”期间城乡居民收入增长情况（元）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10200" cy="4371975"/>
            <wp:effectExtent l="0" t="0" r="0" b="190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410200" cy="4371975"/>
                    </a:xfrm>
                    <a:prstGeom prst="rect">
                      <a:avLst/>
                    </a:prstGeom>
                    <a:noFill/>
                    <a:ln w="9525">
                      <a:noFill/>
                    </a:ln>
                  </pic:spPr>
                </pic:pic>
              </a:graphicData>
            </a:graphic>
          </wp:inline>
        </w:drawing>
      </w:r>
    </w:p>
    <w:p>
      <w:pPr>
        <w:pStyle w:val="2"/>
        <w:keepNext w:val="0"/>
        <w:keepLines w:val="0"/>
        <w:widowControl/>
        <w:suppressLineNumbers w:val="0"/>
        <w:ind w:left="0" w:firstLine="420"/>
        <w:jc w:val="both"/>
      </w:pPr>
      <w:r>
        <w:t xml:space="preserve">——发展环境日新月异。坚持把全面深化改革作为第一动力，主动顺应经济深度融合大趋势，努力营造良好发展环境，积极承接东南沿海产业转移，打造合作共赢、良性互动的对外开放新格局。深化改革稳步推进。完成政府机构改革任务，政府工作部门减少到25个，政府机构效能全面提升。国企改革稳步推进。扎实开展农村土地“三权分置”改革试点和农村集体产权制度改革，全面完成国有林场改革任务，农村土地确权登记颁证工作基本完成。在全省率先探索出台《工业用地弹性年期出让实施办法》，有效降低企业成本。推行城乡社会保障一体化改革，实现进城落户农村居民与城镇居民在就业入学、社会保险、公共卫生等方面享受同等待遇。营商环境持续优化。纵深推进“放管服”改革，提升行政审批服务效能。组建行政审批局和政务服务中心，集中办理公共服务和行政许可事项365项，审批人员精减72.8%，审批集中率达到89.1%。扎实推进“最多跑一次”改革，推出政务服务“一件事一次办”主题套餐，项目审批环节大幅精简，办事时限和材料分别减少50%、60%以上；县级“三级四同”政务服务平台全面建成，公布县级“四办清单”1617项，网上可办率达到90%以上，相对集中行政许可权改革走在全市前列。扎实开展优化提升营商环境“大走访”活动。全面落实减税降费政策，累计为企业减免税费2.33亿元，在全省营商环境监测评价中的排名稳步提升。发展动能更加强劲。牢固树立“项目为王”理念，在项目引进、项目服务、项目投产上用智用力。累计实施固定资产投资项目832个，完成投资692.8亿元。不断扩大招商引资成果，出台《招商引资项目引荐人奖励暂行办法》等一系列政策性文件，招商引资的顶层设计和政策环境日益优化。坚持“四个不要”原则，采取叩门招商、委托招商、精准招商、中介招商及商会招商等新型招商方式，加强与泰州市等发达地区的战略合作，积极融入、优势互补，抱团发展、合作共赢。累计签约落地招商项目77个，合同引进资金190.9亿元，实际到位资金180.13亿元。 </w:t>
      </w:r>
    </w:p>
    <w:p>
      <w:pPr>
        <w:pStyle w:val="2"/>
        <w:keepNext w:val="0"/>
        <w:keepLines w:val="0"/>
        <w:widowControl/>
        <w:suppressLineNumbers w:val="0"/>
        <w:ind w:left="0" w:firstLine="420"/>
        <w:jc w:val="center"/>
      </w:pPr>
      <w:r>
        <w:t xml:space="preserve">表1：长武县“十三五”主要计划指标完成情况 </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690"/>
        <w:gridCol w:w="1308"/>
        <w:gridCol w:w="1152"/>
        <w:gridCol w:w="1855"/>
        <w:gridCol w:w="1673"/>
        <w:gridCol w:w="876"/>
        <w:gridCol w:w="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trPr>
        <w:tc>
          <w:tcPr>
            <w:tcW w:w="396" w:type="dxa"/>
            <w:shd w:val="clear"/>
            <w:vAlign w:val="center"/>
          </w:tcPr>
          <w:p>
            <w:pPr>
              <w:pStyle w:val="2"/>
              <w:keepNext w:val="0"/>
              <w:keepLines w:val="0"/>
              <w:widowControl/>
              <w:suppressLineNumbers w:val="0"/>
              <w:ind w:left="0" w:firstLine="420"/>
              <w:jc w:val="center"/>
            </w:pPr>
            <w:r>
              <w:t xml:space="preserve">类别 </w:t>
            </w:r>
          </w:p>
        </w:tc>
        <w:tc>
          <w:tcPr>
            <w:tcW w:w="2460" w:type="dxa"/>
            <w:gridSpan w:val="2"/>
            <w:shd w:val="clear"/>
            <w:vAlign w:val="center"/>
          </w:tcPr>
          <w:p>
            <w:pPr>
              <w:pStyle w:val="2"/>
              <w:keepNext w:val="0"/>
              <w:keepLines w:val="0"/>
              <w:widowControl/>
              <w:suppressLineNumbers w:val="0"/>
              <w:ind w:left="0" w:firstLine="420"/>
              <w:jc w:val="center"/>
            </w:pPr>
            <w:r>
              <w:t xml:space="preserve">指标名称 </w:t>
            </w:r>
          </w:p>
        </w:tc>
        <w:tc>
          <w:tcPr>
            <w:tcW w:w="1236" w:type="dxa"/>
            <w:shd w:val="clear"/>
            <w:vAlign w:val="center"/>
          </w:tcPr>
          <w:p>
            <w:pPr>
              <w:pStyle w:val="2"/>
              <w:keepNext w:val="0"/>
              <w:keepLines w:val="0"/>
              <w:widowControl/>
              <w:suppressLineNumbers w:val="0"/>
              <w:ind w:left="0" w:firstLine="420"/>
              <w:jc w:val="center"/>
            </w:pPr>
            <w:r>
              <w:t xml:space="preserve">2015年完成 </w:t>
            </w:r>
          </w:p>
        </w:tc>
        <w:tc>
          <w:tcPr>
            <w:tcW w:w="1128" w:type="dxa"/>
            <w:shd w:val="clear"/>
            <w:vAlign w:val="center"/>
          </w:tcPr>
          <w:p>
            <w:pPr>
              <w:pStyle w:val="2"/>
              <w:keepNext w:val="0"/>
              <w:keepLines w:val="0"/>
              <w:widowControl/>
              <w:suppressLineNumbers w:val="0"/>
              <w:ind w:left="0" w:firstLine="420"/>
              <w:jc w:val="center"/>
            </w:pPr>
            <w:r>
              <w:t xml:space="preserve">2020年完成 </w:t>
            </w:r>
          </w:p>
        </w:tc>
        <w:tc>
          <w:tcPr>
            <w:tcW w:w="828" w:type="dxa"/>
            <w:shd w:val="clear"/>
            <w:vAlign w:val="center"/>
          </w:tcPr>
          <w:p>
            <w:pPr>
              <w:pStyle w:val="2"/>
              <w:keepNext w:val="0"/>
              <w:keepLines w:val="0"/>
              <w:widowControl/>
              <w:suppressLineNumbers w:val="0"/>
              <w:ind w:left="0" w:firstLine="420"/>
              <w:jc w:val="center"/>
            </w:pPr>
            <w:r>
              <w:t xml:space="preserve">年均增速 </w:t>
            </w:r>
          </w:p>
        </w:tc>
        <w:tc>
          <w:tcPr>
            <w:tcW w:w="744" w:type="dxa"/>
            <w:shd w:val="clear"/>
            <w:vAlign w:val="center"/>
          </w:tcPr>
          <w:p>
            <w:pPr>
              <w:pStyle w:val="2"/>
              <w:keepNext w:val="0"/>
              <w:keepLines w:val="0"/>
              <w:widowControl/>
              <w:suppressLineNumbers w:val="0"/>
              <w:ind w:left="0" w:firstLine="420"/>
              <w:jc w:val="center"/>
            </w:pPr>
            <w:r>
              <w:t xml:space="preserve">指标属性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restart"/>
            <w:shd w:val="clear"/>
            <w:vAlign w:val="center"/>
          </w:tcPr>
          <w:p>
            <w:pPr>
              <w:pStyle w:val="2"/>
              <w:keepNext w:val="0"/>
              <w:keepLines w:val="0"/>
              <w:widowControl/>
              <w:suppressLineNumbers w:val="0"/>
              <w:ind w:left="0" w:firstLine="420"/>
              <w:jc w:val="center"/>
            </w:pPr>
            <w:r>
              <w:t xml:space="preserve">经济发展 </w:t>
            </w:r>
          </w:p>
        </w:tc>
        <w:tc>
          <w:tcPr>
            <w:tcW w:w="2460" w:type="dxa"/>
            <w:gridSpan w:val="2"/>
            <w:shd w:val="clear"/>
            <w:vAlign w:val="center"/>
          </w:tcPr>
          <w:p>
            <w:pPr>
              <w:pStyle w:val="2"/>
              <w:keepNext w:val="0"/>
              <w:keepLines w:val="0"/>
              <w:widowControl/>
              <w:suppressLineNumbers w:val="0"/>
              <w:ind w:left="0" w:firstLine="420"/>
            </w:pPr>
            <w:r>
              <w:t xml:space="preserve">生产总值（亿元） </w:t>
            </w:r>
          </w:p>
        </w:tc>
        <w:tc>
          <w:tcPr>
            <w:tcW w:w="1236" w:type="dxa"/>
            <w:shd w:val="clear"/>
            <w:vAlign w:val="center"/>
          </w:tcPr>
          <w:p>
            <w:pPr>
              <w:pStyle w:val="2"/>
              <w:keepNext w:val="0"/>
              <w:keepLines w:val="0"/>
              <w:widowControl/>
              <w:suppressLineNumbers w:val="0"/>
              <w:ind w:left="0" w:firstLine="420"/>
              <w:jc w:val="center"/>
            </w:pPr>
            <w:r>
              <w:t xml:space="preserve">68.8 </w:t>
            </w:r>
          </w:p>
        </w:tc>
        <w:tc>
          <w:tcPr>
            <w:tcW w:w="1128" w:type="dxa"/>
            <w:shd w:val="clear"/>
            <w:vAlign w:val="center"/>
          </w:tcPr>
          <w:p>
            <w:pPr>
              <w:pStyle w:val="2"/>
              <w:keepNext w:val="0"/>
              <w:keepLines w:val="0"/>
              <w:widowControl/>
              <w:suppressLineNumbers w:val="0"/>
              <w:ind w:left="0" w:firstLine="420"/>
              <w:jc w:val="center"/>
            </w:pPr>
            <w:r>
              <w:t xml:space="preserve">99.15 </w:t>
            </w:r>
          </w:p>
        </w:tc>
        <w:tc>
          <w:tcPr>
            <w:tcW w:w="828" w:type="dxa"/>
            <w:shd w:val="clear"/>
            <w:vAlign w:val="center"/>
          </w:tcPr>
          <w:p>
            <w:pPr>
              <w:pStyle w:val="2"/>
              <w:keepNext w:val="0"/>
              <w:keepLines w:val="0"/>
              <w:widowControl/>
              <w:suppressLineNumbers w:val="0"/>
              <w:ind w:left="0" w:firstLine="420"/>
              <w:jc w:val="center"/>
            </w:pPr>
            <w:r>
              <w:t xml:space="preserve">13 </w:t>
            </w:r>
          </w:p>
        </w:tc>
        <w:tc>
          <w:tcPr>
            <w:tcW w:w="744" w:type="dxa"/>
            <w:vMerge w:val="restart"/>
            <w:shd w:val="clear"/>
            <w:vAlign w:val="center"/>
          </w:tcPr>
          <w:p>
            <w:pPr>
              <w:pStyle w:val="2"/>
              <w:keepNext w:val="0"/>
              <w:keepLines w:val="0"/>
              <w:widowControl/>
              <w:suppressLineNumbers w:val="0"/>
              <w:ind w:left="0" w:firstLine="420"/>
              <w:jc w:val="center"/>
            </w:pPr>
            <w:r>
              <w:t>预</w:t>
            </w:r>
            <w:r>
              <w:br w:type="textWrapping"/>
            </w:r>
            <w:r>
              <w:t>期</w:t>
            </w:r>
            <w:r>
              <w:br w:type="textWrapping"/>
            </w:r>
            <w:r>
              <w:t xml:space="preserve">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人均GDP（元） </w:t>
            </w:r>
          </w:p>
        </w:tc>
        <w:tc>
          <w:tcPr>
            <w:tcW w:w="1236" w:type="dxa"/>
            <w:shd w:val="clear"/>
            <w:vAlign w:val="center"/>
          </w:tcPr>
          <w:p>
            <w:pPr>
              <w:pStyle w:val="2"/>
              <w:keepNext w:val="0"/>
              <w:keepLines w:val="0"/>
              <w:widowControl/>
              <w:suppressLineNumbers w:val="0"/>
              <w:ind w:left="0" w:firstLine="420"/>
              <w:jc w:val="center"/>
            </w:pPr>
            <w:r>
              <w:t xml:space="preserve">40346 </w:t>
            </w:r>
          </w:p>
        </w:tc>
        <w:tc>
          <w:tcPr>
            <w:tcW w:w="1128" w:type="dxa"/>
            <w:shd w:val="clear"/>
            <w:vAlign w:val="center"/>
          </w:tcPr>
          <w:p>
            <w:pPr>
              <w:pStyle w:val="2"/>
              <w:keepNext w:val="0"/>
              <w:keepLines w:val="0"/>
              <w:widowControl/>
              <w:suppressLineNumbers w:val="0"/>
              <w:ind w:left="0" w:firstLine="420"/>
              <w:jc w:val="center"/>
            </w:pPr>
            <w:r>
              <w:t xml:space="preserve">55954 </w:t>
            </w:r>
          </w:p>
        </w:tc>
        <w:tc>
          <w:tcPr>
            <w:tcW w:w="828" w:type="dxa"/>
            <w:shd w:val="clear"/>
            <w:vAlign w:val="center"/>
          </w:tcPr>
          <w:p>
            <w:pPr>
              <w:pStyle w:val="2"/>
              <w:keepNext w:val="0"/>
              <w:keepLines w:val="0"/>
              <w:widowControl/>
              <w:suppressLineNumbers w:val="0"/>
              <w:ind w:left="0" w:firstLine="420"/>
              <w:jc w:val="center"/>
            </w:pPr>
            <w:r>
              <w:t xml:space="preserve">6.8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规模工业总产值（亿元） </w:t>
            </w:r>
          </w:p>
        </w:tc>
        <w:tc>
          <w:tcPr>
            <w:tcW w:w="1236" w:type="dxa"/>
            <w:shd w:val="clear"/>
            <w:vAlign w:val="center"/>
          </w:tcPr>
          <w:p>
            <w:pPr>
              <w:pStyle w:val="2"/>
              <w:keepNext w:val="0"/>
              <w:keepLines w:val="0"/>
              <w:widowControl/>
              <w:suppressLineNumbers w:val="0"/>
              <w:ind w:left="0" w:firstLine="420"/>
              <w:jc w:val="center"/>
            </w:pPr>
            <w:r>
              <w:t xml:space="preserve">78.4 </w:t>
            </w:r>
          </w:p>
        </w:tc>
        <w:tc>
          <w:tcPr>
            <w:tcW w:w="1128" w:type="dxa"/>
            <w:shd w:val="clear"/>
            <w:vAlign w:val="center"/>
          </w:tcPr>
          <w:p>
            <w:pPr>
              <w:pStyle w:val="2"/>
              <w:keepNext w:val="0"/>
              <w:keepLines w:val="0"/>
              <w:widowControl/>
              <w:suppressLineNumbers w:val="0"/>
              <w:ind w:left="0" w:firstLine="420"/>
              <w:jc w:val="center"/>
            </w:pPr>
            <w:r>
              <w:t xml:space="preserve">117.1 </w:t>
            </w:r>
          </w:p>
        </w:tc>
        <w:tc>
          <w:tcPr>
            <w:tcW w:w="828" w:type="dxa"/>
            <w:shd w:val="clear"/>
            <w:vAlign w:val="center"/>
          </w:tcPr>
          <w:p>
            <w:pPr>
              <w:pStyle w:val="2"/>
              <w:keepNext w:val="0"/>
              <w:keepLines w:val="0"/>
              <w:widowControl/>
              <w:suppressLineNumbers w:val="0"/>
              <w:ind w:left="0" w:firstLine="420"/>
              <w:jc w:val="center"/>
            </w:pPr>
            <w:r>
              <w:t xml:space="preserve">8.4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农业总产值（亿元） </w:t>
            </w:r>
          </w:p>
        </w:tc>
        <w:tc>
          <w:tcPr>
            <w:tcW w:w="1236" w:type="dxa"/>
            <w:shd w:val="clear"/>
            <w:vAlign w:val="center"/>
          </w:tcPr>
          <w:p>
            <w:pPr>
              <w:pStyle w:val="2"/>
              <w:keepNext w:val="0"/>
              <w:keepLines w:val="0"/>
              <w:widowControl/>
              <w:suppressLineNumbers w:val="0"/>
              <w:ind w:left="0" w:firstLine="420"/>
              <w:jc w:val="center"/>
            </w:pPr>
            <w:r>
              <w:t xml:space="preserve">30.8 </w:t>
            </w:r>
          </w:p>
        </w:tc>
        <w:tc>
          <w:tcPr>
            <w:tcW w:w="1128" w:type="dxa"/>
            <w:shd w:val="clear"/>
            <w:vAlign w:val="center"/>
          </w:tcPr>
          <w:p>
            <w:pPr>
              <w:pStyle w:val="2"/>
              <w:keepNext w:val="0"/>
              <w:keepLines w:val="0"/>
              <w:widowControl/>
              <w:suppressLineNumbers w:val="0"/>
              <w:ind w:left="0" w:firstLine="420"/>
              <w:jc w:val="center"/>
            </w:pPr>
            <w:r>
              <w:t xml:space="preserve">34.4 </w:t>
            </w:r>
          </w:p>
        </w:tc>
        <w:tc>
          <w:tcPr>
            <w:tcW w:w="828" w:type="dxa"/>
            <w:shd w:val="clear"/>
            <w:vAlign w:val="center"/>
          </w:tcPr>
          <w:p>
            <w:pPr>
              <w:pStyle w:val="2"/>
              <w:keepNext w:val="0"/>
              <w:keepLines w:val="0"/>
              <w:widowControl/>
              <w:suppressLineNumbers w:val="0"/>
              <w:ind w:left="0" w:firstLine="420"/>
              <w:jc w:val="center"/>
            </w:pPr>
            <w:r>
              <w:t xml:space="preserve">2.3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规模以上工业增加值（亿元） </w:t>
            </w:r>
          </w:p>
        </w:tc>
        <w:tc>
          <w:tcPr>
            <w:tcW w:w="1236" w:type="dxa"/>
            <w:shd w:val="clear"/>
            <w:vAlign w:val="center"/>
          </w:tcPr>
          <w:p>
            <w:pPr>
              <w:pStyle w:val="2"/>
              <w:keepNext w:val="0"/>
              <w:keepLines w:val="0"/>
              <w:widowControl/>
              <w:suppressLineNumbers w:val="0"/>
              <w:ind w:left="0" w:firstLine="420"/>
              <w:jc w:val="center"/>
            </w:pPr>
            <w:r>
              <w:t xml:space="preserve">36.8 </w:t>
            </w:r>
          </w:p>
        </w:tc>
        <w:tc>
          <w:tcPr>
            <w:tcW w:w="1128" w:type="dxa"/>
            <w:shd w:val="clear"/>
            <w:vAlign w:val="center"/>
          </w:tcPr>
          <w:p>
            <w:pPr>
              <w:pStyle w:val="2"/>
              <w:keepNext w:val="0"/>
              <w:keepLines w:val="0"/>
              <w:widowControl/>
              <w:suppressLineNumbers w:val="0"/>
              <w:ind w:left="0" w:firstLine="420"/>
              <w:jc w:val="center"/>
            </w:pPr>
            <w:r>
              <w:t xml:space="preserve">44.96 </w:t>
            </w:r>
          </w:p>
        </w:tc>
        <w:tc>
          <w:tcPr>
            <w:tcW w:w="828" w:type="dxa"/>
            <w:shd w:val="clear"/>
            <w:vAlign w:val="center"/>
          </w:tcPr>
          <w:p>
            <w:pPr>
              <w:pStyle w:val="2"/>
              <w:keepNext w:val="0"/>
              <w:keepLines w:val="0"/>
              <w:widowControl/>
              <w:suppressLineNumbers w:val="0"/>
              <w:ind w:left="0" w:firstLine="420"/>
              <w:jc w:val="center"/>
            </w:pPr>
            <w:r>
              <w:t xml:space="preserve">10.9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服务业增加值（亿元） </w:t>
            </w:r>
          </w:p>
        </w:tc>
        <w:tc>
          <w:tcPr>
            <w:tcW w:w="1236" w:type="dxa"/>
            <w:shd w:val="clear"/>
            <w:vAlign w:val="center"/>
          </w:tcPr>
          <w:p>
            <w:pPr>
              <w:pStyle w:val="2"/>
              <w:keepNext w:val="0"/>
              <w:keepLines w:val="0"/>
              <w:widowControl/>
              <w:suppressLineNumbers w:val="0"/>
              <w:ind w:left="0" w:firstLine="420"/>
              <w:jc w:val="center"/>
            </w:pPr>
            <w:r>
              <w:t xml:space="preserve">10.5 </w:t>
            </w:r>
          </w:p>
        </w:tc>
        <w:tc>
          <w:tcPr>
            <w:tcW w:w="1128" w:type="dxa"/>
            <w:shd w:val="clear"/>
            <w:vAlign w:val="center"/>
          </w:tcPr>
          <w:p>
            <w:pPr>
              <w:pStyle w:val="2"/>
              <w:keepNext w:val="0"/>
              <w:keepLines w:val="0"/>
              <w:widowControl/>
              <w:suppressLineNumbers w:val="0"/>
              <w:ind w:left="0" w:firstLine="420"/>
              <w:jc w:val="center"/>
            </w:pPr>
            <w:r>
              <w:t xml:space="preserve">21.99 </w:t>
            </w:r>
          </w:p>
        </w:tc>
        <w:tc>
          <w:tcPr>
            <w:tcW w:w="828" w:type="dxa"/>
            <w:shd w:val="clear"/>
            <w:vAlign w:val="center"/>
          </w:tcPr>
          <w:p>
            <w:pPr>
              <w:pStyle w:val="2"/>
              <w:keepNext w:val="0"/>
              <w:keepLines w:val="0"/>
              <w:widowControl/>
              <w:suppressLineNumbers w:val="0"/>
              <w:ind w:left="0" w:firstLine="420"/>
              <w:jc w:val="center"/>
            </w:pPr>
            <w:r>
              <w:t xml:space="preserve">16.8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三次产业结构 </w:t>
            </w:r>
          </w:p>
        </w:tc>
        <w:tc>
          <w:tcPr>
            <w:tcW w:w="1236" w:type="dxa"/>
            <w:shd w:val="clear"/>
            <w:vAlign w:val="center"/>
          </w:tcPr>
          <w:p>
            <w:pPr>
              <w:pStyle w:val="2"/>
              <w:keepNext w:val="0"/>
              <w:keepLines w:val="0"/>
              <w:widowControl/>
              <w:suppressLineNumbers w:val="0"/>
              <w:ind w:left="0" w:firstLine="420"/>
              <w:jc w:val="center"/>
            </w:pPr>
            <w:r>
              <w:t xml:space="preserve">22.2:62.6:15.2 </w:t>
            </w:r>
          </w:p>
        </w:tc>
        <w:tc>
          <w:tcPr>
            <w:tcW w:w="1128" w:type="dxa"/>
            <w:shd w:val="clear"/>
            <w:vAlign w:val="center"/>
          </w:tcPr>
          <w:p>
            <w:pPr>
              <w:pStyle w:val="2"/>
              <w:keepNext w:val="0"/>
              <w:keepLines w:val="0"/>
              <w:widowControl/>
              <w:suppressLineNumbers w:val="0"/>
              <w:ind w:left="0" w:firstLine="420"/>
              <w:jc w:val="center"/>
            </w:pPr>
            <w:r>
              <w:t xml:space="preserve">18.8:59:22.2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全社会固定资产投资（亿元） </w:t>
            </w:r>
          </w:p>
        </w:tc>
        <w:tc>
          <w:tcPr>
            <w:tcW w:w="1236" w:type="dxa"/>
            <w:shd w:val="clear"/>
            <w:vAlign w:val="center"/>
          </w:tcPr>
          <w:p>
            <w:pPr>
              <w:pStyle w:val="2"/>
              <w:keepNext w:val="0"/>
              <w:keepLines w:val="0"/>
              <w:widowControl/>
              <w:suppressLineNumbers w:val="0"/>
              <w:ind w:left="0" w:firstLine="420"/>
              <w:jc w:val="center"/>
            </w:pPr>
            <w:r>
              <w:t xml:space="preserve">99.3 </w:t>
            </w:r>
          </w:p>
        </w:tc>
        <w:tc>
          <w:tcPr>
            <w:tcW w:w="1128" w:type="dxa"/>
            <w:shd w:val="clear"/>
            <w:vAlign w:val="center"/>
          </w:tcPr>
          <w:p>
            <w:pPr>
              <w:pStyle w:val="2"/>
              <w:keepNext w:val="0"/>
              <w:keepLines w:val="0"/>
              <w:widowControl/>
              <w:suppressLineNumbers w:val="0"/>
              <w:ind w:left="0" w:firstLine="420"/>
              <w:jc w:val="center"/>
            </w:pPr>
            <w:r>
              <w:t xml:space="preserve">116.14 </w:t>
            </w:r>
          </w:p>
        </w:tc>
        <w:tc>
          <w:tcPr>
            <w:tcW w:w="828" w:type="dxa"/>
            <w:shd w:val="clear"/>
            <w:vAlign w:val="center"/>
          </w:tcPr>
          <w:p>
            <w:pPr>
              <w:pStyle w:val="2"/>
              <w:keepNext w:val="0"/>
              <w:keepLines w:val="0"/>
              <w:widowControl/>
              <w:suppressLineNumbers w:val="0"/>
              <w:ind w:left="0" w:firstLine="420"/>
              <w:jc w:val="center"/>
            </w:pPr>
            <w:r>
              <w:t xml:space="preserve">3.2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社会消费品零售总额（亿元） </w:t>
            </w:r>
          </w:p>
        </w:tc>
        <w:tc>
          <w:tcPr>
            <w:tcW w:w="1236" w:type="dxa"/>
            <w:shd w:val="clear"/>
            <w:vAlign w:val="center"/>
          </w:tcPr>
          <w:p>
            <w:pPr>
              <w:pStyle w:val="2"/>
              <w:keepNext w:val="0"/>
              <w:keepLines w:val="0"/>
              <w:widowControl/>
              <w:suppressLineNumbers w:val="0"/>
              <w:ind w:left="0" w:firstLine="420"/>
              <w:jc w:val="center"/>
            </w:pPr>
            <w:r>
              <w:t xml:space="preserve">15.1 </w:t>
            </w:r>
          </w:p>
        </w:tc>
        <w:tc>
          <w:tcPr>
            <w:tcW w:w="1128" w:type="dxa"/>
            <w:shd w:val="clear"/>
            <w:vAlign w:val="center"/>
          </w:tcPr>
          <w:p>
            <w:pPr>
              <w:pStyle w:val="2"/>
              <w:keepNext w:val="0"/>
              <w:keepLines w:val="0"/>
              <w:widowControl/>
              <w:suppressLineNumbers w:val="0"/>
              <w:ind w:left="0" w:firstLine="420"/>
              <w:jc w:val="center"/>
            </w:pPr>
            <w:r>
              <w:t xml:space="preserve">26.28 </w:t>
            </w:r>
          </w:p>
        </w:tc>
        <w:tc>
          <w:tcPr>
            <w:tcW w:w="828" w:type="dxa"/>
            <w:shd w:val="clear"/>
            <w:vAlign w:val="center"/>
          </w:tcPr>
          <w:p>
            <w:pPr>
              <w:pStyle w:val="2"/>
              <w:keepNext w:val="0"/>
              <w:keepLines w:val="0"/>
              <w:widowControl/>
              <w:suppressLineNumbers w:val="0"/>
              <w:ind w:left="0" w:firstLine="420"/>
              <w:jc w:val="center"/>
            </w:pPr>
            <w:r>
              <w:t xml:space="preserve">11.7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地方一般公共财政预算收入（亿元） </w:t>
            </w:r>
          </w:p>
        </w:tc>
        <w:tc>
          <w:tcPr>
            <w:tcW w:w="1236" w:type="dxa"/>
            <w:shd w:val="clear"/>
            <w:vAlign w:val="center"/>
          </w:tcPr>
          <w:p>
            <w:pPr>
              <w:pStyle w:val="2"/>
              <w:keepNext w:val="0"/>
              <w:keepLines w:val="0"/>
              <w:widowControl/>
              <w:suppressLineNumbers w:val="0"/>
              <w:ind w:left="0" w:firstLine="420"/>
              <w:jc w:val="center"/>
            </w:pPr>
            <w:r>
              <w:t xml:space="preserve">3.51 </w:t>
            </w:r>
          </w:p>
        </w:tc>
        <w:tc>
          <w:tcPr>
            <w:tcW w:w="1128" w:type="dxa"/>
            <w:shd w:val="clear"/>
            <w:vAlign w:val="center"/>
          </w:tcPr>
          <w:p>
            <w:pPr>
              <w:pStyle w:val="2"/>
              <w:keepNext w:val="0"/>
              <w:keepLines w:val="0"/>
              <w:widowControl/>
              <w:suppressLineNumbers w:val="0"/>
              <w:ind w:left="0" w:firstLine="420"/>
              <w:jc w:val="center"/>
            </w:pPr>
            <w:r>
              <w:t xml:space="preserve">6.3 </w:t>
            </w:r>
          </w:p>
        </w:tc>
        <w:tc>
          <w:tcPr>
            <w:tcW w:w="828" w:type="dxa"/>
            <w:shd w:val="clear"/>
            <w:vAlign w:val="center"/>
          </w:tcPr>
          <w:p>
            <w:pPr>
              <w:pStyle w:val="2"/>
              <w:keepNext w:val="0"/>
              <w:keepLines w:val="0"/>
              <w:widowControl/>
              <w:suppressLineNumbers w:val="0"/>
              <w:ind w:left="0" w:firstLine="420"/>
              <w:jc w:val="center"/>
            </w:pPr>
            <w:r>
              <w:t xml:space="preserve">12.4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restart"/>
            <w:shd w:val="clear"/>
            <w:vAlign w:val="center"/>
          </w:tcPr>
          <w:p>
            <w:pPr>
              <w:pStyle w:val="2"/>
              <w:keepNext w:val="0"/>
              <w:keepLines w:val="0"/>
              <w:widowControl/>
              <w:suppressLineNumbers w:val="0"/>
              <w:ind w:left="0" w:firstLine="420"/>
              <w:jc w:val="center"/>
            </w:pPr>
            <w:r>
              <w:t xml:space="preserve">结构升级 </w:t>
            </w:r>
          </w:p>
        </w:tc>
        <w:tc>
          <w:tcPr>
            <w:tcW w:w="2460" w:type="dxa"/>
            <w:gridSpan w:val="2"/>
            <w:shd w:val="clear"/>
            <w:vAlign w:val="center"/>
          </w:tcPr>
          <w:p>
            <w:pPr>
              <w:pStyle w:val="2"/>
              <w:keepNext w:val="0"/>
              <w:keepLines w:val="0"/>
              <w:widowControl/>
              <w:suppressLineNumbers w:val="0"/>
              <w:ind w:left="0" w:firstLine="420"/>
            </w:pPr>
            <w:r>
              <w:t xml:space="preserve">服务业增加值占GDP比重（%） </w:t>
            </w:r>
          </w:p>
        </w:tc>
        <w:tc>
          <w:tcPr>
            <w:tcW w:w="1236" w:type="dxa"/>
            <w:shd w:val="clear"/>
            <w:vAlign w:val="center"/>
          </w:tcPr>
          <w:p>
            <w:pPr>
              <w:pStyle w:val="2"/>
              <w:keepNext w:val="0"/>
              <w:keepLines w:val="0"/>
              <w:widowControl/>
              <w:suppressLineNumbers w:val="0"/>
              <w:ind w:left="0" w:firstLine="420"/>
              <w:jc w:val="center"/>
            </w:pPr>
            <w:r>
              <w:t xml:space="preserve">15.2 </w:t>
            </w:r>
          </w:p>
        </w:tc>
        <w:tc>
          <w:tcPr>
            <w:tcW w:w="1128" w:type="dxa"/>
            <w:shd w:val="clear"/>
            <w:vAlign w:val="center"/>
          </w:tcPr>
          <w:p>
            <w:pPr>
              <w:pStyle w:val="2"/>
              <w:keepNext w:val="0"/>
              <w:keepLines w:val="0"/>
              <w:widowControl/>
              <w:suppressLineNumbers w:val="0"/>
              <w:ind w:left="0" w:firstLine="420"/>
              <w:jc w:val="center"/>
            </w:pPr>
            <w:r>
              <w:t xml:space="preserve">22.2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常住人口城镇化率（%） </w:t>
            </w:r>
          </w:p>
        </w:tc>
        <w:tc>
          <w:tcPr>
            <w:tcW w:w="1236" w:type="dxa"/>
            <w:shd w:val="clear"/>
            <w:vAlign w:val="center"/>
          </w:tcPr>
          <w:p>
            <w:pPr>
              <w:pStyle w:val="2"/>
              <w:keepNext w:val="0"/>
              <w:keepLines w:val="0"/>
              <w:widowControl/>
              <w:suppressLineNumbers w:val="0"/>
              <w:ind w:left="0" w:firstLine="420"/>
              <w:jc w:val="center"/>
            </w:pPr>
            <w:r>
              <w:t xml:space="preserve">35.9 </w:t>
            </w:r>
          </w:p>
        </w:tc>
        <w:tc>
          <w:tcPr>
            <w:tcW w:w="1128" w:type="dxa"/>
            <w:shd w:val="clear"/>
            <w:vAlign w:val="center"/>
          </w:tcPr>
          <w:p>
            <w:pPr>
              <w:pStyle w:val="2"/>
              <w:keepNext w:val="0"/>
              <w:keepLines w:val="0"/>
              <w:widowControl/>
              <w:suppressLineNumbers w:val="0"/>
              <w:ind w:left="0" w:firstLine="420"/>
              <w:jc w:val="center"/>
            </w:pPr>
            <w:r>
              <w:t xml:space="preserve">41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非公经济增加值占GDP比重（%） </w:t>
            </w:r>
          </w:p>
        </w:tc>
        <w:tc>
          <w:tcPr>
            <w:tcW w:w="1236" w:type="dxa"/>
            <w:shd w:val="clear"/>
            <w:vAlign w:val="center"/>
          </w:tcPr>
          <w:p>
            <w:pPr>
              <w:pStyle w:val="2"/>
              <w:keepNext w:val="0"/>
              <w:keepLines w:val="0"/>
              <w:widowControl/>
              <w:suppressLineNumbers w:val="0"/>
              <w:ind w:left="0" w:firstLine="420"/>
              <w:jc w:val="center"/>
            </w:pPr>
            <w:r>
              <w:t xml:space="preserve">47.3 </w:t>
            </w:r>
          </w:p>
        </w:tc>
        <w:tc>
          <w:tcPr>
            <w:tcW w:w="1128" w:type="dxa"/>
            <w:shd w:val="clear"/>
            <w:vAlign w:val="center"/>
          </w:tcPr>
          <w:p>
            <w:pPr>
              <w:pStyle w:val="2"/>
              <w:keepNext w:val="0"/>
              <w:keepLines w:val="0"/>
              <w:widowControl/>
              <w:suppressLineNumbers w:val="0"/>
              <w:ind w:left="0" w:firstLine="420"/>
              <w:jc w:val="center"/>
            </w:pPr>
            <w:r>
              <w:t xml:space="preserve">50.22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restart"/>
            <w:shd w:val="clear"/>
            <w:vAlign w:val="center"/>
          </w:tcPr>
          <w:p>
            <w:pPr>
              <w:pStyle w:val="2"/>
              <w:keepNext w:val="0"/>
              <w:keepLines w:val="0"/>
              <w:widowControl/>
              <w:suppressLineNumbers w:val="0"/>
              <w:ind w:left="0" w:firstLine="420"/>
              <w:jc w:val="center"/>
            </w:pPr>
            <w:r>
              <w:t xml:space="preserve">民生福祉 </w:t>
            </w:r>
          </w:p>
        </w:tc>
        <w:tc>
          <w:tcPr>
            <w:tcW w:w="2460" w:type="dxa"/>
            <w:gridSpan w:val="2"/>
            <w:shd w:val="clear"/>
            <w:vAlign w:val="center"/>
          </w:tcPr>
          <w:p>
            <w:pPr>
              <w:pStyle w:val="2"/>
              <w:keepNext w:val="0"/>
              <w:keepLines w:val="0"/>
              <w:widowControl/>
              <w:suppressLineNumbers w:val="0"/>
              <w:ind w:left="0" w:firstLine="420"/>
            </w:pPr>
            <w:r>
              <w:t xml:space="preserve">城镇新增就业人数（万人）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0.52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城镇居民人均可支配收入（元） </w:t>
            </w:r>
          </w:p>
        </w:tc>
        <w:tc>
          <w:tcPr>
            <w:tcW w:w="1236" w:type="dxa"/>
            <w:shd w:val="clear"/>
            <w:vAlign w:val="center"/>
          </w:tcPr>
          <w:p>
            <w:pPr>
              <w:pStyle w:val="2"/>
              <w:keepNext w:val="0"/>
              <w:keepLines w:val="0"/>
              <w:widowControl/>
              <w:suppressLineNumbers w:val="0"/>
              <w:ind w:left="0" w:firstLine="420"/>
              <w:jc w:val="center"/>
            </w:pPr>
            <w:r>
              <w:t xml:space="preserve">24283 </w:t>
            </w:r>
          </w:p>
        </w:tc>
        <w:tc>
          <w:tcPr>
            <w:tcW w:w="1128" w:type="dxa"/>
            <w:shd w:val="clear"/>
            <w:vAlign w:val="center"/>
          </w:tcPr>
          <w:p>
            <w:pPr>
              <w:pStyle w:val="2"/>
              <w:keepNext w:val="0"/>
              <w:keepLines w:val="0"/>
              <w:widowControl/>
              <w:suppressLineNumbers w:val="0"/>
              <w:ind w:left="0" w:firstLine="420"/>
              <w:jc w:val="center"/>
            </w:pPr>
            <w:r>
              <w:t xml:space="preserve">35539 </w:t>
            </w:r>
          </w:p>
        </w:tc>
        <w:tc>
          <w:tcPr>
            <w:tcW w:w="828" w:type="dxa"/>
            <w:shd w:val="clear"/>
            <w:vAlign w:val="center"/>
          </w:tcPr>
          <w:p>
            <w:pPr>
              <w:pStyle w:val="2"/>
              <w:keepNext w:val="0"/>
              <w:keepLines w:val="0"/>
              <w:widowControl/>
              <w:suppressLineNumbers w:val="0"/>
              <w:ind w:left="0" w:firstLine="420"/>
              <w:jc w:val="center"/>
            </w:pPr>
            <w:r>
              <w:t xml:space="preserve">8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农村居民人均可支配收入（元） </w:t>
            </w:r>
          </w:p>
        </w:tc>
        <w:tc>
          <w:tcPr>
            <w:tcW w:w="1236" w:type="dxa"/>
            <w:shd w:val="clear"/>
            <w:vAlign w:val="center"/>
          </w:tcPr>
          <w:p>
            <w:pPr>
              <w:pStyle w:val="2"/>
              <w:keepNext w:val="0"/>
              <w:keepLines w:val="0"/>
              <w:widowControl/>
              <w:suppressLineNumbers w:val="0"/>
              <w:ind w:left="0" w:firstLine="420"/>
              <w:jc w:val="center"/>
            </w:pPr>
            <w:r>
              <w:t xml:space="preserve">7563 </w:t>
            </w:r>
          </w:p>
        </w:tc>
        <w:tc>
          <w:tcPr>
            <w:tcW w:w="1128" w:type="dxa"/>
            <w:shd w:val="clear"/>
            <w:vAlign w:val="center"/>
          </w:tcPr>
          <w:p>
            <w:pPr>
              <w:pStyle w:val="2"/>
              <w:keepNext w:val="0"/>
              <w:keepLines w:val="0"/>
              <w:widowControl/>
              <w:suppressLineNumbers w:val="0"/>
              <w:ind w:left="0" w:firstLine="420"/>
              <w:jc w:val="center"/>
            </w:pPr>
            <w:r>
              <w:t xml:space="preserve">11562 </w:t>
            </w:r>
          </w:p>
        </w:tc>
        <w:tc>
          <w:tcPr>
            <w:tcW w:w="828" w:type="dxa"/>
            <w:shd w:val="clear"/>
            <w:vAlign w:val="center"/>
          </w:tcPr>
          <w:p>
            <w:pPr>
              <w:pStyle w:val="2"/>
              <w:keepNext w:val="0"/>
              <w:keepLines w:val="0"/>
              <w:widowControl/>
              <w:suppressLineNumbers w:val="0"/>
              <w:ind w:left="0" w:firstLine="420"/>
              <w:jc w:val="center"/>
            </w:pPr>
            <w:r>
              <w:t xml:space="preserve">8.9 </w:t>
            </w: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城乡居民收入比（以农为1） </w:t>
            </w:r>
          </w:p>
        </w:tc>
        <w:tc>
          <w:tcPr>
            <w:tcW w:w="1236" w:type="dxa"/>
            <w:shd w:val="clear"/>
            <w:vAlign w:val="center"/>
          </w:tcPr>
          <w:p>
            <w:pPr>
              <w:pStyle w:val="2"/>
              <w:keepNext w:val="0"/>
              <w:keepLines w:val="0"/>
              <w:widowControl/>
              <w:suppressLineNumbers w:val="0"/>
              <w:ind w:left="0" w:firstLine="420"/>
              <w:jc w:val="center"/>
            </w:pPr>
            <w:r>
              <w:t xml:space="preserve">3.65 </w:t>
            </w:r>
          </w:p>
        </w:tc>
        <w:tc>
          <w:tcPr>
            <w:tcW w:w="1128" w:type="dxa"/>
            <w:shd w:val="clear"/>
            <w:vAlign w:val="center"/>
          </w:tcPr>
          <w:p>
            <w:pPr>
              <w:pStyle w:val="2"/>
              <w:keepNext w:val="0"/>
              <w:keepLines w:val="0"/>
              <w:widowControl/>
              <w:suppressLineNumbers w:val="0"/>
              <w:ind w:left="0" w:firstLine="420"/>
              <w:jc w:val="center"/>
            </w:pPr>
            <w:r>
              <w:t xml:space="preserve">3.12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城镇登记失业率（%）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3.7 </w:t>
            </w:r>
          </w:p>
        </w:tc>
        <w:tc>
          <w:tcPr>
            <w:tcW w:w="828" w:type="dxa"/>
            <w:shd w:val="clear"/>
            <w:vAlign w:val="center"/>
          </w:tcPr>
          <w:p>
            <w:pPr>
              <w:rPr>
                <w:rFonts w:hint="eastAsia" w:ascii="宋体"/>
                <w:sz w:val="24"/>
                <w:szCs w:val="24"/>
              </w:rPr>
            </w:pPr>
          </w:p>
        </w:tc>
        <w:tc>
          <w:tcPr>
            <w:tcW w:w="744" w:type="dxa"/>
            <w:vMerge w:val="restart"/>
            <w:shd w:val="clear"/>
            <w:vAlign w:val="center"/>
          </w:tcPr>
          <w:p>
            <w:pPr>
              <w:pStyle w:val="2"/>
              <w:keepNext w:val="0"/>
              <w:keepLines w:val="0"/>
              <w:widowControl/>
              <w:suppressLineNumbers w:val="0"/>
              <w:ind w:left="0" w:firstLine="420"/>
              <w:jc w:val="center"/>
            </w:pPr>
            <w:r>
              <w:t>约</w:t>
            </w:r>
            <w:r>
              <w:br w:type="textWrapping"/>
            </w:r>
            <w:r>
              <w:t>束</w:t>
            </w:r>
            <w:r>
              <w:br w:type="textWrapping"/>
            </w:r>
            <w:r>
              <w:t xml:space="preserve">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人口自然增长率（‰） </w:t>
            </w:r>
          </w:p>
        </w:tc>
        <w:tc>
          <w:tcPr>
            <w:tcW w:w="1236" w:type="dxa"/>
            <w:shd w:val="clear"/>
            <w:vAlign w:val="center"/>
          </w:tcPr>
          <w:p>
            <w:pPr>
              <w:pStyle w:val="2"/>
              <w:keepNext w:val="0"/>
              <w:keepLines w:val="0"/>
              <w:widowControl/>
              <w:suppressLineNumbers w:val="0"/>
              <w:ind w:left="0" w:firstLine="420"/>
              <w:jc w:val="center"/>
            </w:pPr>
            <w:r>
              <w:t xml:space="preserve">—— </w:t>
            </w:r>
          </w:p>
        </w:tc>
        <w:tc>
          <w:tcPr>
            <w:tcW w:w="1128" w:type="dxa"/>
            <w:shd w:val="clear"/>
            <w:vAlign w:val="center"/>
          </w:tcPr>
          <w:p>
            <w:pPr>
              <w:pStyle w:val="2"/>
              <w:keepNext w:val="0"/>
              <w:keepLines w:val="0"/>
              <w:widowControl/>
              <w:suppressLineNumbers w:val="0"/>
              <w:ind w:left="0" w:firstLine="420"/>
              <w:jc w:val="center"/>
            </w:pPr>
            <w:r>
              <w:t xml:space="preserve">2.1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居民消费价格指数（%） </w:t>
            </w:r>
          </w:p>
        </w:tc>
        <w:tc>
          <w:tcPr>
            <w:tcW w:w="1236" w:type="dxa"/>
            <w:shd w:val="clear"/>
            <w:vAlign w:val="center"/>
          </w:tcPr>
          <w:p>
            <w:pPr>
              <w:pStyle w:val="2"/>
              <w:keepNext w:val="0"/>
              <w:keepLines w:val="0"/>
              <w:widowControl/>
              <w:suppressLineNumbers w:val="0"/>
              <w:ind w:left="0" w:firstLine="420"/>
              <w:jc w:val="center"/>
            </w:pPr>
            <w:r>
              <w:t xml:space="preserve">—— </w:t>
            </w:r>
          </w:p>
        </w:tc>
        <w:tc>
          <w:tcPr>
            <w:tcW w:w="1128" w:type="dxa"/>
            <w:shd w:val="clear"/>
            <w:vAlign w:val="center"/>
          </w:tcPr>
          <w:p>
            <w:pPr>
              <w:pStyle w:val="2"/>
              <w:keepNext w:val="0"/>
              <w:keepLines w:val="0"/>
              <w:widowControl/>
              <w:suppressLineNumbers w:val="0"/>
              <w:ind w:left="0" w:firstLine="420"/>
              <w:jc w:val="center"/>
            </w:pPr>
            <w:r>
              <w:t xml:space="preserve">102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高中阶段教育毛入学率（%） </w:t>
            </w:r>
          </w:p>
        </w:tc>
        <w:tc>
          <w:tcPr>
            <w:tcW w:w="1236" w:type="dxa"/>
            <w:shd w:val="clear"/>
            <w:vAlign w:val="center"/>
          </w:tcPr>
          <w:p>
            <w:pPr>
              <w:pStyle w:val="2"/>
              <w:keepNext w:val="0"/>
              <w:keepLines w:val="0"/>
              <w:widowControl/>
              <w:suppressLineNumbers w:val="0"/>
              <w:ind w:left="0" w:firstLine="420"/>
              <w:jc w:val="center"/>
            </w:pPr>
            <w:r>
              <w:t xml:space="preserve">97 </w:t>
            </w:r>
          </w:p>
        </w:tc>
        <w:tc>
          <w:tcPr>
            <w:tcW w:w="1128" w:type="dxa"/>
            <w:shd w:val="clear"/>
            <w:vAlign w:val="center"/>
          </w:tcPr>
          <w:p>
            <w:pPr>
              <w:pStyle w:val="2"/>
              <w:keepNext w:val="0"/>
              <w:keepLines w:val="0"/>
              <w:widowControl/>
              <w:suppressLineNumbers w:val="0"/>
              <w:ind w:left="0" w:firstLine="420"/>
              <w:jc w:val="center"/>
            </w:pPr>
            <w:r>
              <w:t xml:space="preserve">99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基本社会保险覆盖率（%）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99.2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restart"/>
            <w:shd w:val="clear"/>
            <w:vAlign w:val="center"/>
          </w:tcPr>
          <w:p>
            <w:pPr>
              <w:pStyle w:val="2"/>
              <w:keepNext w:val="0"/>
              <w:keepLines w:val="0"/>
              <w:widowControl/>
              <w:suppressLineNumbers w:val="0"/>
              <w:ind w:left="0" w:firstLine="420"/>
              <w:jc w:val="center"/>
            </w:pPr>
            <w:r>
              <w:t xml:space="preserve">生态文明 </w:t>
            </w:r>
          </w:p>
        </w:tc>
        <w:tc>
          <w:tcPr>
            <w:tcW w:w="2460" w:type="dxa"/>
            <w:gridSpan w:val="2"/>
            <w:shd w:val="clear"/>
            <w:vAlign w:val="center"/>
          </w:tcPr>
          <w:p>
            <w:pPr>
              <w:pStyle w:val="2"/>
              <w:keepNext w:val="0"/>
              <w:keepLines w:val="0"/>
              <w:widowControl/>
              <w:suppressLineNumbers w:val="0"/>
              <w:ind w:left="0" w:firstLine="420"/>
            </w:pPr>
            <w:r>
              <w:t xml:space="preserve">耕地保有量（万亩）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20.2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单位生产总值能耗降低（%） </w:t>
            </w:r>
          </w:p>
        </w:tc>
        <w:tc>
          <w:tcPr>
            <w:tcW w:w="1236" w:type="dxa"/>
            <w:shd w:val="clear"/>
            <w:vAlign w:val="center"/>
          </w:tcPr>
          <w:p>
            <w:pPr>
              <w:pStyle w:val="2"/>
              <w:keepNext w:val="0"/>
              <w:keepLines w:val="0"/>
              <w:widowControl/>
              <w:suppressLineNumbers w:val="0"/>
              <w:ind w:left="0" w:firstLine="420"/>
              <w:jc w:val="center"/>
            </w:pPr>
            <w:r>
              <w:t xml:space="preserve">3.35 </w:t>
            </w:r>
          </w:p>
        </w:tc>
        <w:tc>
          <w:tcPr>
            <w:tcW w:w="1128" w:type="dxa"/>
            <w:shd w:val="clear"/>
            <w:vAlign w:val="center"/>
          </w:tcPr>
          <w:p>
            <w:pPr>
              <w:pStyle w:val="2"/>
              <w:keepNext w:val="0"/>
              <w:keepLines w:val="0"/>
              <w:widowControl/>
              <w:suppressLineNumbers w:val="0"/>
              <w:ind w:left="0" w:firstLine="420"/>
              <w:jc w:val="center"/>
            </w:pPr>
            <w:r>
              <w:t xml:space="preserve">[29]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单位工业增加值用水量降低（%）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[23]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单位生产二氧化碳排放强度降低（%）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[16] </w:t>
            </w:r>
          </w:p>
        </w:tc>
        <w:tc>
          <w:tcPr>
            <w:tcW w:w="828" w:type="dxa"/>
            <w:shd w:val="clear"/>
            <w:vAlign w:val="center"/>
          </w:tcPr>
          <w:p>
            <w:pPr>
              <w:rPr>
                <w:rFonts w:hint="eastAsia" w:ascii="宋体"/>
                <w:sz w:val="24"/>
                <w:szCs w:val="24"/>
              </w:rPr>
            </w:pPr>
          </w:p>
        </w:tc>
        <w:tc>
          <w:tcPr>
            <w:tcW w:w="744" w:type="dxa"/>
            <w:vMerge w:val="restart"/>
            <w:shd w:val="clear"/>
            <w:vAlign w:val="center"/>
          </w:tcPr>
          <w:p>
            <w:pPr>
              <w:pStyle w:val="2"/>
              <w:keepNext w:val="0"/>
              <w:keepLines w:val="0"/>
              <w:widowControl/>
              <w:suppressLineNumbers w:val="0"/>
              <w:ind w:left="0" w:firstLine="420"/>
              <w:jc w:val="center"/>
            </w:pPr>
            <w:r>
              <w:t xml:space="preserve">预期性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城市空气优良天数（天）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320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1308" w:type="dxa"/>
            <w:vMerge w:val="restart"/>
            <w:shd w:val="clear"/>
            <w:vAlign w:val="center"/>
          </w:tcPr>
          <w:p>
            <w:pPr>
              <w:pStyle w:val="2"/>
              <w:keepNext w:val="0"/>
              <w:keepLines w:val="0"/>
              <w:widowControl/>
              <w:suppressLineNumbers w:val="0"/>
              <w:ind w:left="0" w:firstLine="420"/>
            </w:pPr>
            <w:r>
              <w:t xml:space="preserve">主要污染物排放降低（%） </w:t>
            </w:r>
          </w:p>
        </w:tc>
        <w:tc>
          <w:tcPr>
            <w:tcW w:w="1152" w:type="dxa"/>
            <w:shd w:val="clear"/>
            <w:vAlign w:val="center"/>
          </w:tcPr>
          <w:p>
            <w:pPr>
              <w:pStyle w:val="2"/>
              <w:keepNext w:val="0"/>
              <w:keepLines w:val="0"/>
              <w:widowControl/>
              <w:suppressLineNumbers w:val="0"/>
              <w:ind w:left="0" w:firstLine="420"/>
            </w:pPr>
            <w:r>
              <w:t xml:space="preserve">化学需氧量 </w:t>
            </w:r>
          </w:p>
        </w:tc>
        <w:tc>
          <w:tcPr>
            <w:tcW w:w="1236" w:type="dxa"/>
            <w:vMerge w:val="restart"/>
            <w:shd w:val="clear"/>
            <w:vAlign w:val="center"/>
          </w:tcPr>
          <w:p>
            <w:pPr>
              <w:rPr>
                <w:rFonts w:hint="eastAsia" w:ascii="宋体"/>
                <w:sz w:val="24"/>
                <w:szCs w:val="24"/>
              </w:rPr>
            </w:pPr>
          </w:p>
        </w:tc>
        <w:tc>
          <w:tcPr>
            <w:tcW w:w="1128" w:type="dxa"/>
            <w:vMerge w:val="restart"/>
            <w:shd w:val="clear"/>
            <w:vAlign w:val="center"/>
          </w:tcPr>
          <w:p>
            <w:pPr>
              <w:pStyle w:val="2"/>
              <w:keepNext w:val="0"/>
              <w:keepLines w:val="0"/>
              <w:widowControl/>
              <w:suppressLineNumbers w:val="0"/>
              <w:ind w:left="0" w:firstLine="420"/>
              <w:jc w:val="center"/>
            </w:pPr>
            <w:r>
              <w:t xml:space="preserve">[18.5] </w:t>
            </w:r>
          </w:p>
        </w:tc>
        <w:tc>
          <w:tcPr>
            <w:tcW w:w="828" w:type="dxa"/>
            <w:vMerge w:val="restart"/>
            <w:shd w:val="clear"/>
            <w:vAlign w:val="center"/>
          </w:tcPr>
          <w:p>
            <w:pPr>
              <w:rPr>
                <w:rFonts w:hint="eastAsia" w:ascii="宋体"/>
                <w:sz w:val="24"/>
                <w:szCs w:val="24"/>
              </w:rPr>
            </w:pPr>
          </w:p>
        </w:tc>
        <w:tc>
          <w:tcPr>
            <w:tcW w:w="744" w:type="dxa"/>
            <w:vMerge w:val="restart"/>
            <w:shd w:val="clear"/>
            <w:vAlign w:val="center"/>
          </w:tcPr>
          <w:p>
            <w:pPr>
              <w:pStyle w:val="2"/>
              <w:keepNext w:val="0"/>
              <w:keepLines w:val="0"/>
              <w:widowControl/>
              <w:suppressLineNumbers w:val="0"/>
              <w:ind w:left="0" w:firstLine="420"/>
              <w:jc w:val="center"/>
            </w:pPr>
            <w:r>
              <w:t>约</w:t>
            </w:r>
            <w:r>
              <w:br w:type="textWrapping"/>
            </w:r>
            <w:r>
              <w:t>束</w:t>
            </w:r>
            <w:r>
              <w:br w:type="textWrapping"/>
            </w:r>
            <w:r>
              <w:t xml:space="preserve">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1308" w:type="dxa"/>
            <w:vMerge w:val="continue"/>
            <w:shd w:val="clear"/>
            <w:vAlign w:val="center"/>
          </w:tcPr>
          <w:p>
            <w:pPr>
              <w:rPr>
                <w:rFonts w:hint="eastAsia" w:ascii="宋体"/>
                <w:sz w:val="24"/>
                <w:szCs w:val="24"/>
              </w:rPr>
            </w:pPr>
          </w:p>
        </w:tc>
        <w:tc>
          <w:tcPr>
            <w:tcW w:w="1152" w:type="dxa"/>
            <w:shd w:val="clear"/>
            <w:vAlign w:val="center"/>
          </w:tcPr>
          <w:p>
            <w:pPr>
              <w:pStyle w:val="2"/>
              <w:keepNext w:val="0"/>
              <w:keepLines w:val="0"/>
              <w:widowControl/>
              <w:suppressLineNumbers w:val="0"/>
              <w:ind w:left="0" w:firstLine="420"/>
            </w:pPr>
            <w:r>
              <w:t xml:space="preserve">氨氮 </w:t>
            </w:r>
          </w:p>
        </w:tc>
        <w:tc>
          <w:tcPr>
            <w:tcW w:w="1236" w:type="dxa"/>
            <w:vMerge w:val="continue"/>
            <w:shd w:val="clear"/>
            <w:vAlign w:val="center"/>
          </w:tcPr>
          <w:p>
            <w:pPr>
              <w:rPr>
                <w:rFonts w:hint="eastAsia" w:ascii="宋体"/>
                <w:sz w:val="24"/>
                <w:szCs w:val="24"/>
              </w:rPr>
            </w:pPr>
          </w:p>
        </w:tc>
        <w:tc>
          <w:tcPr>
            <w:tcW w:w="1128" w:type="dxa"/>
            <w:vMerge w:val="continue"/>
            <w:shd w:val="clear"/>
            <w:vAlign w:val="center"/>
          </w:tcPr>
          <w:p>
            <w:pPr>
              <w:rPr>
                <w:rFonts w:hint="eastAsia" w:ascii="宋体"/>
                <w:sz w:val="24"/>
                <w:szCs w:val="24"/>
              </w:rPr>
            </w:pPr>
          </w:p>
        </w:tc>
        <w:tc>
          <w:tcPr>
            <w:tcW w:w="828" w:type="dxa"/>
            <w:vMerge w:val="continue"/>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1308" w:type="dxa"/>
            <w:vMerge w:val="continue"/>
            <w:shd w:val="clear"/>
            <w:vAlign w:val="center"/>
          </w:tcPr>
          <w:p>
            <w:pPr>
              <w:rPr>
                <w:rFonts w:hint="eastAsia" w:ascii="宋体"/>
                <w:sz w:val="24"/>
                <w:szCs w:val="24"/>
              </w:rPr>
            </w:pPr>
          </w:p>
        </w:tc>
        <w:tc>
          <w:tcPr>
            <w:tcW w:w="1152" w:type="dxa"/>
            <w:shd w:val="clear"/>
            <w:vAlign w:val="center"/>
          </w:tcPr>
          <w:p>
            <w:pPr>
              <w:pStyle w:val="2"/>
              <w:keepNext w:val="0"/>
              <w:keepLines w:val="0"/>
              <w:widowControl/>
              <w:suppressLineNumbers w:val="0"/>
              <w:ind w:left="0" w:firstLine="420"/>
            </w:pPr>
            <w:r>
              <w:t xml:space="preserve">氮氧化物 </w:t>
            </w:r>
          </w:p>
        </w:tc>
        <w:tc>
          <w:tcPr>
            <w:tcW w:w="1236" w:type="dxa"/>
            <w:vMerge w:val="continue"/>
            <w:shd w:val="clear"/>
            <w:vAlign w:val="center"/>
          </w:tcPr>
          <w:p>
            <w:pPr>
              <w:rPr>
                <w:rFonts w:hint="eastAsia" w:ascii="宋体"/>
                <w:sz w:val="24"/>
                <w:szCs w:val="24"/>
              </w:rPr>
            </w:pPr>
          </w:p>
        </w:tc>
        <w:tc>
          <w:tcPr>
            <w:tcW w:w="1128" w:type="dxa"/>
            <w:vMerge w:val="continue"/>
            <w:shd w:val="clear"/>
            <w:vAlign w:val="center"/>
          </w:tcPr>
          <w:p>
            <w:pPr>
              <w:rPr>
                <w:rFonts w:hint="eastAsia" w:ascii="宋体"/>
                <w:sz w:val="24"/>
                <w:szCs w:val="24"/>
              </w:rPr>
            </w:pPr>
          </w:p>
        </w:tc>
        <w:tc>
          <w:tcPr>
            <w:tcW w:w="828" w:type="dxa"/>
            <w:vMerge w:val="continue"/>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1308" w:type="dxa"/>
            <w:vMerge w:val="continue"/>
            <w:shd w:val="clear"/>
            <w:vAlign w:val="center"/>
          </w:tcPr>
          <w:p>
            <w:pPr>
              <w:rPr>
                <w:rFonts w:hint="eastAsia" w:ascii="宋体"/>
                <w:sz w:val="24"/>
                <w:szCs w:val="24"/>
              </w:rPr>
            </w:pPr>
          </w:p>
        </w:tc>
        <w:tc>
          <w:tcPr>
            <w:tcW w:w="1152" w:type="dxa"/>
            <w:shd w:val="clear"/>
            <w:vAlign w:val="center"/>
          </w:tcPr>
          <w:p>
            <w:pPr>
              <w:pStyle w:val="2"/>
              <w:keepNext w:val="0"/>
              <w:keepLines w:val="0"/>
              <w:widowControl/>
              <w:suppressLineNumbers w:val="0"/>
              <w:ind w:left="0" w:firstLine="420"/>
            </w:pPr>
            <w:r>
              <w:t xml:space="preserve">二氧化硫 </w:t>
            </w:r>
          </w:p>
        </w:tc>
        <w:tc>
          <w:tcPr>
            <w:tcW w:w="1236" w:type="dxa"/>
            <w:vMerge w:val="continue"/>
            <w:shd w:val="clear"/>
            <w:vAlign w:val="center"/>
          </w:tcPr>
          <w:p>
            <w:pPr>
              <w:rPr>
                <w:rFonts w:hint="eastAsia" w:ascii="宋体"/>
                <w:sz w:val="24"/>
                <w:szCs w:val="24"/>
              </w:rPr>
            </w:pPr>
          </w:p>
        </w:tc>
        <w:tc>
          <w:tcPr>
            <w:tcW w:w="1128" w:type="dxa"/>
            <w:vMerge w:val="continue"/>
            <w:shd w:val="clear"/>
            <w:vAlign w:val="center"/>
          </w:tcPr>
          <w:p>
            <w:pPr>
              <w:rPr>
                <w:rFonts w:hint="eastAsia" w:ascii="宋体"/>
                <w:sz w:val="24"/>
                <w:szCs w:val="24"/>
              </w:rPr>
            </w:pPr>
          </w:p>
        </w:tc>
        <w:tc>
          <w:tcPr>
            <w:tcW w:w="828" w:type="dxa"/>
            <w:vMerge w:val="continue"/>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城市污水处理率（%） </w:t>
            </w:r>
          </w:p>
        </w:tc>
        <w:tc>
          <w:tcPr>
            <w:tcW w:w="1236" w:type="dxa"/>
            <w:shd w:val="clear"/>
            <w:vAlign w:val="center"/>
          </w:tcPr>
          <w:p>
            <w:pPr>
              <w:rPr>
                <w:rFonts w:hint="eastAsia" w:ascii="宋体"/>
                <w:sz w:val="24"/>
                <w:szCs w:val="24"/>
              </w:rPr>
            </w:pPr>
          </w:p>
        </w:tc>
        <w:tc>
          <w:tcPr>
            <w:tcW w:w="1128" w:type="dxa"/>
            <w:shd w:val="clear"/>
            <w:vAlign w:val="center"/>
          </w:tcPr>
          <w:p>
            <w:pPr>
              <w:pStyle w:val="2"/>
              <w:keepNext w:val="0"/>
              <w:keepLines w:val="0"/>
              <w:widowControl/>
              <w:suppressLineNumbers w:val="0"/>
              <w:ind w:left="0" w:firstLine="420"/>
              <w:jc w:val="center"/>
            </w:pPr>
            <w:r>
              <w:t xml:space="preserve">&gt;97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城市生活垃圾无害化处理率（%） </w:t>
            </w:r>
          </w:p>
        </w:tc>
        <w:tc>
          <w:tcPr>
            <w:tcW w:w="1236" w:type="dxa"/>
            <w:shd w:val="clear"/>
            <w:vAlign w:val="center"/>
          </w:tcPr>
          <w:p>
            <w:pPr>
              <w:pStyle w:val="2"/>
              <w:keepNext w:val="0"/>
              <w:keepLines w:val="0"/>
              <w:widowControl/>
              <w:suppressLineNumbers w:val="0"/>
              <w:ind w:left="0" w:firstLine="420"/>
              <w:jc w:val="center"/>
            </w:pPr>
            <w:r>
              <w:t xml:space="preserve">94.6 </w:t>
            </w:r>
          </w:p>
        </w:tc>
        <w:tc>
          <w:tcPr>
            <w:tcW w:w="1128" w:type="dxa"/>
            <w:shd w:val="clear"/>
            <w:vAlign w:val="center"/>
          </w:tcPr>
          <w:p>
            <w:pPr>
              <w:pStyle w:val="2"/>
              <w:keepNext w:val="0"/>
              <w:keepLines w:val="0"/>
              <w:widowControl/>
              <w:suppressLineNumbers w:val="0"/>
              <w:ind w:left="0" w:firstLine="420"/>
              <w:jc w:val="center"/>
            </w:pPr>
            <w:r>
              <w:t xml:space="preserve">95.8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治理水土流失面积（平方公里） </w:t>
            </w:r>
          </w:p>
        </w:tc>
        <w:tc>
          <w:tcPr>
            <w:tcW w:w="1236" w:type="dxa"/>
            <w:shd w:val="clear"/>
            <w:vAlign w:val="center"/>
          </w:tcPr>
          <w:p>
            <w:pPr>
              <w:pStyle w:val="2"/>
              <w:keepNext w:val="0"/>
              <w:keepLines w:val="0"/>
              <w:widowControl/>
              <w:suppressLineNumbers w:val="0"/>
              <w:ind w:left="0" w:firstLine="420"/>
              <w:jc w:val="center"/>
            </w:pPr>
            <w:r>
              <w:t xml:space="preserve">55 </w:t>
            </w:r>
          </w:p>
        </w:tc>
        <w:tc>
          <w:tcPr>
            <w:tcW w:w="1128" w:type="dxa"/>
            <w:shd w:val="clear"/>
            <w:vAlign w:val="center"/>
          </w:tcPr>
          <w:p>
            <w:pPr>
              <w:pStyle w:val="2"/>
              <w:keepNext w:val="0"/>
              <w:keepLines w:val="0"/>
              <w:widowControl/>
              <w:suppressLineNumbers w:val="0"/>
              <w:ind w:left="0" w:firstLine="420"/>
              <w:jc w:val="center"/>
            </w:pPr>
            <w:r>
              <w:t xml:space="preserve">[220]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trPr>
        <w:tc>
          <w:tcPr>
            <w:tcW w:w="396" w:type="dxa"/>
            <w:vMerge w:val="continue"/>
            <w:shd w:val="clear"/>
            <w:vAlign w:val="center"/>
          </w:tcPr>
          <w:p>
            <w:pPr>
              <w:rPr>
                <w:rFonts w:hint="eastAsia" w:ascii="宋体"/>
                <w:sz w:val="24"/>
                <w:szCs w:val="24"/>
              </w:rPr>
            </w:pPr>
          </w:p>
        </w:tc>
        <w:tc>
          <w:tcPr>
            <w:tcW w:w="2460" w:type="dxa"/>
            <w:gridSpan w:val="2"/>
            <w:shd w:val="clear"/>
            <w:vAlign w:val="center"/>
          </w:tcPr>
          <w:p>
            <w:pPr>
              <w:pStyle w:val="2"/>
              <w:keepNext w:val="0"/>
              <w:keepLines w:val="0"/>
              <w:widowControl/>
              <w:suppressLineNumbers w:val="0"/>
              <w:ind w:left="0" w:firstLine="420"/>
            </w:pPr>
            <w:r>
              <w:t xml:space="preserve">森林覆盖率（%） </w:t>
            </w:r>
          </w:p>
        </w:tc>
        <w:tc>
          <w:tcPr>
            <w:tcW w:w="1236" w:type="dxa"/>
            <w:shd w:val="clear"/>
            <w:vAlign w:val="center"/>
          </w:tcPr>
          <w:p>
            <w:pPr>
              <w:pStyle w:val="2"/>
              <w:keepNext w:val="0"/>
              <w:keepLines w:val="0"/>
              <w:widowControl/>
              <w:suppressLineNumbers w:val="0"/>
              <w:ind w:left="0" w:firstLine="420"/>
              <w:jc w:val="center"/>
            </w:pPr>
            <w:r>
              <w:t xml:space="preserve">34.8 </w:t>
            </w:r>
          </w:p>
        </w:tc>
        <w:tc>
          <w:tcPr>
            <w:tcW w:w="1128" w:type="dxa"/>
            <w:shd w:val="clear"/>
            <w:vAlign w:val="center"/>
          </w:tcPr>
          <w:p>
            <w:pPr>
              <w:pStyle w:val="2"/>
              <w:keepNext w:val="0"/>
              <w:keepLines w:val="0"/>
              <w:widowControl/>
              <w:suppressLineNumbers w:val="0"/>
              <w:ind w:left="0" w:firstLine="420"/>
              <w:jc w:val="center"/>
            </w:pPr>
            <w:r>
              <w:t xml:space="preserve">37.3 </w:t>
            </w:r>
          </w:p>
        </w:tc>
        <w:tc>
          <w:tcPr>
            <w:tcW w:w="828" w:type="dxa"/>
            <w:shd w:val="clear"/>
            <w:vAlign w:val="center"/>
          </w:tcPr>
          <w:p>
            <w:pPr>
              <w:rPr>
                <w:rFonts w:hint="eastAsia" w:ascii="宋体"/>
                <w:sz w:val="24"/>
                <w:szCs w:val="24"/>
              </w:rPr>
            </w:pPr>
          </w:p>
        </w:tc>
        <w:tc>
          <w:tcPr>
            <w:tcW w:w="744" w:type="dxa"/>
            <w:vMerge w:val="continue"/>
            <w:shd w:val="clear"/>
            <w:vAlign w:val="center"/>
          </w:tcPr>
          <w:p>
            <w:pPr>
              <w:rPr>
                <w:rFonts w:hint="eastAsia" w:ascii="宋体"/>
                <w:sz w:val="24"/>
                <w:szCs w:val="24"/>
              </w:rPr>
            </w:pPr>
          </w:p>
        </w:tc>
      </w:tr>
    </w:tbl>
    <w:p>
      <w:pPr>
        <w:pStyle w:val="2"/>
        <w:keepNext w:val="0"/>
        <w:keepLines w:val="0"/>
        <w:widowControl/>
        <w:suppressLineNumbers w:val="0"/>
        <w:ind w:left="0" w:firstLine="420"/>
      </w:pPr>
      <w:r>
        <w:t xml:space="preserve">注：1、生产总值、增加值增长速度按不变价格计算； </w:t>
      </w:r>
    </w:p>
    <w:p>
      <w:pPr>
        <w:pStyle w:val="2"/>
        <w:keepNext w:val="0"/>
        <w:keepLines w:val="0"/>
        <w:widowControl/>
        <w:suppressLineNumbers w:val="0"/>
        <w:ind w:left="0" w:firstLine="420"/>
      </w:pPr>
      <w:r>
        <w:t xml:space="preserve">2、在2018年度经济普查结束后，对部分指标基数进行了调整，其中：2018年生产总值由100.46亿元下调为95.934亿元；2015年固定资产投资由132.3亿元下调为99.3亿元；2015年城乡居民可支配收入由29162元和7987元分别下调至24283元和7563元；2019年社会消费品零售总额由22.24亿元上调至28.24亿元； </w:t>
      </w:r>
    </w:p>
    <w:p>
      <w:pPr>
        <w:pStyle w:val="2"/>
        <w:keepNext w:val="0"/>
        <w:keepLines w:val="0"/>
        <w:widowControl/>
        <w:suppressLineNumbers w:val="0"/>
        <w:ind w:left="0" w:firstLine="420"/>
      </w:pPr>
      <w:r>
        <w:t xml:space="preserve">3、[]表示五年累计数。 </w:t>
      </w:r>
    </w:p>
    <w:p>
      <w:pPr>
        <w:pStyle w:val="2"/>
        <w:keepNext w:val="0"/>
        <w:keepLines w:val="0"/>
        <w:widowControl/>
        <w:suppressLineNumbers w:val="0"/>
        <w:ind w:left="0" w:firstLine="420"/>
        <w:jc w:val="both"/>
      </w:pPr>
      <w:r>
        <w:t xml:space="preserve">在充分肯定“十三五”发展成绩的同时，必须清醒的认识到，长武发展仍面临诸多困难和挑战：从发展环境看，宏观形势复杂多变，各种不确定性增加；从发展阶段看，长武仍处于工业化初级阶段，发展不充分依然是主要矛盾;从发展方式看，经济结构性矛盾突出，发展质量不高，环保压力增大;从发展条件看，经济基础薄弱、总量偏小，基础设施制约严重，群众收入水平偏低;从发展动力看，经济市场化和外向化程度不高，重点领域改革和对外开放依然滞后，非公有制经济发展薄弱，民间投资创业活力不足。 </w:t>
      </w:r>
    </w:p>
    <w:p>
      <w:pPr>
        <w:pStyle w:val="2"/>
        <w:keepNext w:val="0"/>
        <w:keepLines w:val="0"/>
        <w:widowControl/>
        <w:suppressLineNumbers w:val="0"/>
        <w:ind w:left="0" w:firstLine="420"/>
        <w:jc w:val="both"/>
      </w:pPr>
      <w:r>
        <w:t xml:space="preserve">——发展动力不足，经济总量依然偏小。受经济下行压力和新冠肺炎疫情影响，消费、投资“双下降”，煤炭、电力、甲醇等大宗工业品市场价格波动较大，苹果等农产品市场低迷，新招引落地的重大产业项目数量少、体量小。“十三五”末，GDP总量仅占咸阳市的4.7%左右，综合实力不强的县情尚未改变。 </w:t>
      </w:r>
    </w:p>
    <w:p>
      <w:pPr>
        <w:pStyle w:val="2"/>
        <w:keepNext w:val="0"/>
        <w:keepLines w:val="0"/>
        <w:widowControl/>
        <w:suppressLineNumbers w:val="0"/>
        <w:ind w:left="0" w:firstLine="420"/>
        <w:jc w:val="both"/>
      </w:pPr>
      <w:r>
        <w:t xml:space="preserve">——转型步伐缓慢，产业结构不尽合理。工业经济“一煤独大”，传统工业改造升级任务艰巨，新兴工业发展缓慢；农业产业“小、散、弱”现象突出，苹果等支柱产业效益下降，新的接续产业尚未形成；现代服务业规模小、数量少，对经济拉动作用十分有限，产业转型压力较大。 </w:t>
      </w:r>
    </w:p>
    <w:p>
      <w:pPr>
        <w:pStyle w:val="2"/>
        <w:keepNext w:val="0"/>
        <w:keepLines w:val="0"/>
        <w:widowControl/>
        <w:suppressLineNumbers w:val="0"/>
        <w:ind w:left="0" w:firstLine="420"/>
        <w:jc w:val="both"/>
      </w:pPr>
      <w:r>
        <w:t xml:space="preserve">——环保政策趋紧，资源转化难度加大。煤炭资源就地转化率不高，产业链条短、附加值低，资源优势发挥不充分。限产、错峰生产等节能降耗、污染减排政策趋紧，给经济稳增长带来巨大压力。 </w:t>
      </w:r>
    </w:p>
    <w:p>
      <w:pPr>
        <w:pStyle w:val="2"/>
        <w:keepNext w:val="0"/>
        <w:keepLines w:val="0"/>
        <w:widowControl/>
        <w:suppressLineNumbers w:val="0"/>
        <w:ind w:left="0" w:firstLine="420"/>
        <w:jc w:val="both"/>
      </w:pPr>
      <w:r>
        <w:t xml:space="preserve">——重大项目偏少，各类要素保障不足。新开工亿元以上产业项目有限，对完善产业链条、带动县域经济发展的作用较弱。园区发展尚处于初期阶段，配套设施短板明显，承载力和竞争力不强，用地难、融资难、专业人才缺乏等问题依然严重。 </w:t>
      </w:r>
    </w:p>
    <w:p>
      <w:pPr>
        <w:pStyle w:val="2"/>
        <w:keepNext w:val="0"/>
        <w:keepLines w:val="0"/>
        <w:widowControl/>
        <w:suppressLineNumbers w:val="0"/>
        <w:ind w:left="0" w:firstLine="420"/>
      </w:pPr>
      <w:r>
        <w:t xml:space="preserve">二、发展环境 </w:t>
      </w:r>
    </w:p>
    <w:p>
      <w:pPr>
        <w:pStyle w:val="2"/>
        <w:keepNext w:val="0"/>
        <w:keepLines w:val="0"/>
        <w:widowControl/>
        <w:suppressLineNumbers w:val="0"/>
        <w:ind w:left="0" w:firstLine="420"/>
        <w:jc w:val="both"/>
      </w:pPr>
      <w:r>
        <w:t xml:space="preserve">——从国家战略层面看，一是在国内大循环为主体、国内国际双循环相互促进的新发展格局下，消费结构、需求结构、产业结构将不断升级，内需将成为主要的经济增长动力，有利于长武在清洁能源、新材料等节能环保领域实现产业转型升级。二是国家“一带一路”倡议，将加快东部地区产能向中西部地区合理转移，带动西部工业化、城镇化发展，为长武优化产业结构、延长产业链条、统筹城乡发展提供新支撑。三是新一轮西部大开发必将为长武发展现代农业、商贸物流业和文化旅游产业带来重大战略机遇。四是实施黄河流域生态保护和高质量发展战略，为推动长武产业转型升级和高质量发展带来千载难逢的历史机遇。 </w:t>
      </w:r>
    </w:p>
    <w:p>
      <w:pPr>
        <w:pStyle w:val="2"/>
        <w:keepNext w:val="0"/>
        <w:keepLines w:val="0"/>
        <w:widowControl/>
        <w:suppressLineNumbers w:val="0"/>
        <w:ind w:left="0" w:firstLine="420"/>
        <w:jc w:val="both"/>
      </w:pPr>
      <w:r>
        <w:t xml:space="preserve">——从省市政策层面看，随着西安获批为国家中心城市，省政府提出推进西咸一体化发展、加快建设西咸都市圈，西咸区域影响力和辐射引领作用进一步增强，长武处于西咸经济圈以内，作为“彬县—旬邑—长武—泾川协同发展形成新增长极”和“彬县—长武—旬邑一体化发展福银发展带”中的节点城市，对加速商品流通，加快产业转型升级、扩大投资消费和旅游资源开发提供了有利条件。同时，陕甘两省经济社会发展合作进一步紧密，咸阳在产业发展布局中将长武定位为发展煤炭工业、煤化工业、林果业以及建材工业，提出“立足千亿量级加快建设彬长旬高端能化基地”，为长武加快煤炭、电力、天然气等资源开发，争取高端精细化学品、新材料等一批重大能源化工项目纳入国家规划，为县域经济社会实现高质量发展带来新的契机。 </w:t>
      </w:r>
    </w:p>
    <w:p>
      <w:pPr>
        <w:pStyle w:val="2"/>
        <w:keepNext w:val="0"/>
        <w:keepLines w:val="0"/>
        <w:widowControl/>
        <w:suppressLineNumbers w:val="0"/>
        <w:ind w:left="0" w:firstLine="420"/>
        <w:jc w:val="both"/>
      </w:pPr>
      <w:r>
        <w:t xml:space="preserve">——从长武自身实际看，未来五年，长武经济社会发展进入利好政策叠加、多种优势汇集、多种潜力充分的重要战略机遇期。资源优势助推发展大提速。煤炭、石油等资源禀赋雄厚，水资源可利用量达到8800万立方米，杨家坪煤矿、大唐彬长发电二期等重大项目启动实施，投资拉动潜力将进一步释放，有利于长武加快形成“彬长旬高端能化基地”核心区。区位优势助力发展高质量。长武地处咸阳、庆阳、铜川、平凉、宝鸡五大城市的核心位置，是陕西向西北地区辐射的重要窗口。西平铁路、福银高速穿境而过，已经融入大西安2小时经济圈。毗邻县区消费人口至少在80万人以上，连同周边省市辐射带动消费人口约200万人以上，发展商贸、电子商务、仓储物流等业态潜力巨大、前景广阔。环境优势厚植发展新底蕴。长武空气优良，水质稳定达标，蓝天白云、清水绿岸，空气清新、气候宜人成为长武靓丽的生态名片。行政审批效率和政务服务水平不断提高，政务服务改革走在全市前列，有口皆碑、口口相传的长武营商“品牌”深入人心。交通路网四通八达，还将谋划实施通用机场项目，必将吸引和带动更多客商来长投资兴业。 </w:t>
      </w:r>
    </w:p>
    <w:p>
      <w:pPr>
        <w:pStyle w:val="2"/>
        <w:keepNext w:val="0"/>
        <w:keepLines w:val="0"/>
        <w:widowControl/>
        <w:suppressLineNumbers w:val="0"/>
        <w:ind w:left="0" w:firstLine="420"/>
      </w:pPr>
      <w:r>
        <w:t xml:space="preserve">总体判断，“十四五”时期，机遇与挑战并存，困难与希望同在，是长武推动高质量发展的重要机遇期，必须准确把握经济社会发展的新特征、新形势、新要求，立足县域发展实际，准确识变、科学应变、主动求变，在危机中育先机，于变局中开新局，发挥比较优势，破解发展瓶颈，走出一条符合县情实际的发展道路，为谱写长武新时代追赶超越新篇章提供有力支撑。 </w:t>
      </w:r>
    </w:p>
    <w:p>
      <w:pPr>
        <w:keepNext w:val="0"/>
        <w:keepLines w:val="0"/>
        <w:widowControl/>
        <w:suppressLineNumbers w:val="0"/>
        <w:jc w:val="center"/>
      </w:pPr>
      <w:r>
        <w:rPr>
          <w:rFonts w:ascii="宋体" w:hAnsi="宋体" w:eastAsia="宋体" w:cs="宋体"/>
          <w:kern w:val="0"/>
          <w:sz w:val="24"/>
          <w:szCs w:val="24"/>
          <w:lang w:val="en-US" w:eastAsia="zh-CN" w:bidi="ar"/>
        </w:rPr>
        <w:t xml:space="preserve">第二章  发展思路和预期目标 </w:t>
      </w:r>
    </w:p>
    <w:p>
      <w:pPr>
        <w:pStyle w:val="2"/>
        <w:keepNext w:val="0"/>
        <w:keepLines w:val="0"/>
        <w:widowControl/>
        <w:suppressLineNumbers w:val="0"/>
        <w:ind w:left="0" w:firstLine="420"/>
        <w:jc w:val="both"/>
      </w:pPr>
      <w:r>
        <w:t xml:space="preserve">一、指导思想 </w:t>
      </w:r>
    </w:p>
    <w:p>
      <w:pPr>
        <w:pStyle w:val="2"/>
        <w:keepNext w:val="0"/>
        <w:keepLines w:val="0"/>
        <w:widowControl/>
        <w:suppressLineNumbers w:val="0"/>
        <w:ind w:left="0" w:firstLine="420"/>
        <w:jc w:val="both"/>
      </w:pPr>
      <w:r>
        <w:t xml:space="preserve">坚持以习近平新时代中国特色社会主义思想为指导，深入学习贯彻习近平总书记来陕考察重要讲话和党的十九大、十九届二中、三中、四中、五中全会精神，贯通落实“五项要求”和“五个扎实”，全面落实省委十三届八次全会和市委七届十二次全会要求，坚持稳中求进工作总基调，以推动高质量发展为主题，以深化供给侧结构性改革为主线，以深度融入“双循环”新发展格局为关键，以改革创新为根本动力，以满足人民日益增长的美好生活需要为根本目的，坚持系统观念，统筹发展和安全，聚力建设“一城三基地”，只争朝夕、埋头苦干，实现经济行稳致远、社会和谐稳定，全面建设社会主义现代化国家新征程，奋力谱写长武新时代追赶超越新篇章！ </w:t>
      </w:r>
    </w:p>
    <w:p>
      <w:pPr>
        <w:pStyle w:val="2"/>
        <w:keepNext w:val="0"/>
        <w:keepLines w:val="0"/>
        <w:widowControl/>
        <w:suppressLineNumbers w:val="0"/>
        <w:ind w:left="0" w:firstLine="420"/>
        <w:jc w:val="both"/>
      </w:pPr>
      <w:r>
        <w:t xml:space="preserve">二、基本原则 </w:t>
      </w:r>
    </w:p>
    <w:p>
      <w:pPr>
        <w:pStyle w:val="2"/>
        <w:keepNext w:val="0"/>
        <w:keepLines w:val="0"/>
        <w:widowControl/>
        <w:suppressLineNumbers w:val="0"/>
        <w:ind w:left="0" w:firstLine="420"/>
        <w:jc w:val="both"/>
      </w:pPr>
      <w:r>
        <w:t xml:space="preserve">——坚持党的全面领导。坚持党的领导，完善党委领导经济社会发展的体制机制，切实把党的领导贯穿于经济社会发展的各领域、各方面和全过程，全面提高党委（党组）贯彻新发展理念、推动高质量发展的能力和水平，为经济社会发展提供坚强保障。 </w:t>
      </w:r>
    </w:p>
    <w:p>
      <w:pPr>
        <w:pStyle w:val="2"/>
        <w:keepNext w:val="0"/>
        <w:keepLines w:val="0"/>
        <w:widowControl/>
        <w:suppressLineNumbers w:val="0"/>
        <w:ind w:left="0" w:firstLine="420"/>
        <w:jc w:val="both"/>
      </w:pPr>
      <w:r>
        <w:t xml:space="preserve">——坚持以人民为中心。把人民对美好生活的向往作为一切工作的出发点和落脚点，尊重人民主体地位，依法保障人民权益，切实解决好人民群众最关心、最直接、最现实的利益问题，让改革发展成果更多更公平惠及广大群众，努力实现人民群众高品质生活。 </w:t>
      </w:r>
    </w:p>
    <w:p>
      <w:pPr>
        <w:pStyle w:val="2"/>
        <w:keepNext w:val="0"/>
        <w:keepLines w:val="0"/>
        <w:widowControl/>
        <w:suppressLineNumbers w:val="0"/>
        <w:ind w:left="0" w:firstLine="420"/>
        <w:jc w:val="both"/>
      </w:pPr>
      <w:r>
        <w:t xml:space="preserve">——坚持新发展理念。坚持以创新、协调、绿色、开放、共享五大发展理念引领高质量发展，加快转变经济发展方式，实现新旧动能转换，建立具有长武特色的现代经济体系，着力推动质量变革、效率变革、动力变革。 </w:t>
      </w:r>
    </w:p>
    <w:p>
      <w:pPr>
        <w:pStyle w:val="2"/>
        <w:keepNext w:val="0"/>
        <w:keepLines w:val="0"/>
        <w:widowControl/>
        <w:suppressLineNumbers w:val="0"/>
        <w:ind w:left="0" w:firstLine="420"/>
        <w:jc w:val="both"/>
      </w:pPr>
      <w:r>
        <w:t xml:space="preserve">——坚持深化改革开放。深度融入共建“一带一路”，抢抓黄河流域生态保护、新时代西部大开发、关中平原城市群建设等重大机遇，主动承接东部沿海地区产业转移和大西安企业外迁，加强与陇东、彬旬等地区合作，加快培育合作和竞争新优势。 </w:t>
      </w:r>
    </w:p>
    <w:p>
      <w:pPr>
        <w:pStyle w:val="2"/>
        <w:keepNext w:val="0"/>
        <w:keepLines w:val="0"/>
        <w:widowControl/>
        <w:suppressLineNumbers w:val="0"/>
        <w:ind w:left="0" w:firstLine="420"/>
        <w:jc w:val="both"/>
      </w:pPr>
      <w:r>
        <w:t xml:space="preserve">——坚持系统思维。加强前瞻性思考、全局性谋划、战略性布局、整体性推进，正确处理稳与进、发展与安全、当前与长远的关系，发挥各级各方面主动性和创造性，防范化解重大风险挑战，低调务实，埋头苦干，实现发展速度、规划、质量、结构、效益、安全相统一。 </w:t>
      </w:r>
    </w:p>
    <w:p>
      <w:pPr>
        <w:pStyle w:val="2"/>
        <w:keepNext w:val="0"/>
        <w:keepLines w:val="0"/>
        <w:widowControl/>
        <w:suppressLineNumbers w:val="0"/>
        <w:ind w:left="0" w:firstLine="420"/>
        <w:jc w:val="both"/>
      </w:pPr>
      <w:r>
        <w:t xml:space="preserve">三、发展理念 </w:t>
      </w:r>
    </w:p>
    <w:p>
      <w:pPr>
        <w:pStyle w:val="2"/>
        <w:keepNext w:val="0"/>
        <w:keepLines w:val="0"/>
        <w:widowControl/>
        <w:suppressLineNumbers w:val="0"/>
        <w:ind w:left="0" w:firstLine="420"/>
        <w:jc w:val="both"/>
      </w:pPr>
      <w:r>
        <w:t xml:space="preserve">——以创新为动力，推动转型升级。适应以内循环为主体，“内外互促”的发展新格局，积极探索新经济、新业态、新模式，加快煤炭资源开发步伐，提高就地转化能力，延长煤化工上下游产业链条，提高特色产业工业化、智能化水平。 </w:t>
      </w:r>
    </w:p>
    <w:p>
      <w:pPr>
        <w:pStyle w:val="2"/>
        <w:keepNext w:val="0"/>
        <w:keepLines w:val="0"/>
        <w:widowControl/>
        <w:suppressLineNumbers w:val="0"/>
        <w:ind w:left="0" w:firstLine="420"/>
        <w:jc w:val="both"/>
      </w:pPr>
      <w:r>
        <w:t xml:space="preserve">——以协调为核心，加强城乡统筹。以实施乡村振兴战略为引领，全域规划、科学布局、发挥特色，培育新型农村产业经营主体，拓展城乡发展空间，实现城镇发展与产业支撑、就业转移和人口集聚有机统一，促进新型城镇化和美丽乡村建设相得益彰。 </w:t>
      </w:r>
    </w:p>
    <w:p>
      <w:pPr>
        <w:pStyle w:val="2"/>
        <w:keepNext w:val="0"/>
        <w:keepLines w:val="0"/>
        <w:widowControl/>
        <w:suppressLineNumbers w:val="0"/>
        <w:ind w:left="0" w:firstLine="420"/>
        <w:jc w:val="both"/>
      </w:pPr>
      <w:r>
        <w:t xml:space="preserve">——以绿色为引领，筑牢生态屏障。把生态文明建设作为“生命线工程”融入经济社会发展全过程，坚持走科技含量高、经济效益好、环境污染少的绿色、生态、循环发展之路，全面推进绿色生产，倡导绿色生活，构筑绿色屏障，实现人与自然和谐共生。 </w:t>
      </w:r>
    </w:p>
    <w:p>
      <w:pPr>
        <w:pStyle w:val="2"/>
        <w:keepNext w:val="0"/>
        <w:keepLines w:val="0"/>
        <w:widowControl/>
        <w:suppressLineNumbers w:val="0"/>
        <w:ind w:left="0" w:firstLine="420"/>
        <w:jc w:val="both"/>
      </w:pPr>
      <w:r>
        <w:t xml:space="preserve">——以开放为基点，扩大招商引资。深度融入“一带一路”，积极参与陕甘协同发展，加快形成全方位、多层次、宽领域的对外开放新格局。优化营商环境，强化政策供给，聚焦要素保障，提升服务效能，有效增强经济发展活力。 </w:t>
      </w:r>
    </w:p>
    <w:p>
      <w:pPr>
        <w:pStyle w:val="2"/>
        <w:keepNext w:val="0"/>
        <w:keepLines w:val="0"/>
        <w:widowControl/>
        <w:suppressLineNumbers w:val="0"/>
        <w:ind w:left="0" w:firstLine="420"/>
        <w:jc w:val="both"/>
      </w:pPr>
      <w:r>
        <w:t xml:space="preserve">——以共享为目标，增进民生福祉。持续加大民生投入，统筹发展社会事业，健全完善社会保障体系，促进基本公共服务均等化，推进社会治理体系和治理能力现代化，构建全民共建共治共享的社会治理格局，不断提升人民群众获得感、幸福感、安全感。 </w:t>
      </w:r>
    </w:p>
    <w:p>
      <w:pPr>
        <w:pStyle w:val="2"/>
        <w:keepNext w:val="0"/>
        <w:keepLines w:val="0"/>
        <w:widowControl/>
        <w:suppressLineNumbers w:val="0"/>
        <w:ind w:left="0" w:firstLine="420"/>
        <w:jc w:val="both"/>
      </w:pPr>
      <w:r>
        <w:t xml:space="preserve">四、发展定位 </w:t>
      </w:r>
    </w:p>
    <w:p>
      <w:pPr>
        <w:pStyle w:val="2"/>
        <w:keepNext w:val="0"/>
        <w:keepLines w:val="0"/>
        <w:widowControl/>
        <w:suppressLineNumbers w:val="0"/>
        <w:ind w:left="0" w:firstLine="420"/>
        <w:jc w:val="both"/>
      </w:pPr>
      <w:r>
        <w:t xml:space="preserve">——打造丝绸之路经济带节点名城。发挥“古丝路驿站”的区位优势，紧扣“精致、人文、生态、宜居”理念，推进城乡融合，促进产城融合，把长武建设成为具有现代时尚气息和历史文化底蕴的丝路名城，扮靓陕西“西大门”。 </w:t>
      </w:r>
    </w:p>
    <w:p>
      <w:pPr>
        <w:pStyle w:val="2"/>
        <w:keepNext w:val="0"/>
        <w:keepLines w:val="0"/>
        <w:widowControl/>
        <w:suppressLineNumbers w:val="0"/>
        <w:ind w:left="0" w:firstLine="420"/>
        <w:jc w:val="both"/>
      </w:pPr>
      <w:r>
        <w:t xml:space="preserve">——打造陕西重要的现代能化基地。深入推进“煤炭革命”，立足煤、延伸煤、超越煤，做好煤与非煤两篇文章，提高煤炭资源就地转化率，大力发展装备制造、劳动密集型产业，打造体系完备、低碳集约的现代高端能源化工基地。 </w:t>
      </w:r>
    </w:p>
    <w:p>
      <w:pPr>
        <w:pStyle w:val="2"/>
        <w:keepNext w:val="0"/>
        <w:keepLines w:val="0"/>
        <w:widowControl/>
        <w:suppressLineNumbers w:val="0"/>
        <w:ind w:left="0" w:firstLine="420"/>
        <w:jc w:val="both"/>
      </w:pPr>
      <w:r>
        <w:t xml:space="preserve">——打造陕西重要的绿色果品基地。发挥得天独厚的地理环境优势，以绿色、有机、无公害为方向，加快果园更新换代，大力发展现代果业，提高果品品质，打响“马栏红·长武苹果”品牌，打造国内外知名的绿色果品基地。 </w:t>
      </w:r>
    </w:p>
    <w:p>
      <w:pPr>
        <w:pStyle w:val="2"/>
        <w:keepNext w:val="0"/>
        <w:keepLines w:val="0"/>
        <w:widowControl/>
        <w:suppressLineNumbers w:val="0"/>
        <w:ind w:left="0" w:firstLine="420"/>
        <w:jc w:val="both"/>
      </w:pPr>
      <w:r>
        <w:t xml:space="preserve">——打造陕甘交界重要的区域性物流集散基地。围绕汽车销售、建材家居、食品加工、商贸物流、电子商务等板块，大力培育“互联网+”新业态，增强辐射带动功能，形成区域商贸物流集散中心。 </w:t>
      </w:r>
    </w:p>
    <w:p>
      <w:pPr>
        <w:pStyle w:val="2"/>
        <w:keepNext w:val="0"/>
        <w:keepLines w:val="0"/>
        <w:widowControl/>
        <w:suppressLineNumbers w:val="0"/>
        <w:ind w:left="0" w:firstLine="420"/>
        <w:jc w:val="both"/>
      </w:pPr>
      <w:r>
        <w:t xml:space="preserve">五、发展目标 </w:t>
      </w:r>
    </w:p>
    <w:p>
      <w:pPr>
        <w:pStyle w:val="2"/>
        <w:keepNext w:val="0"/>
        <w:keepLines w:val="0"/>
        <w:widowControl/>
        <w:suppressLineNumbers w:val="0"/>
        <w:ind w:left="0" w:firstLine="420"/>
        <w:jc w:val="both"/>
      </w:pPr>
      <w:r>
        <w:t xml:space="preserve">经过五年努力，产业发展转型升级，生态环境持续改善，人民生活水平明显提高，县域经济实现更高质量、更可持续、更加安全发展。 </w:t>
      </w:r>
    </w:p>
    <w:p>
      <w:pPr>
        <w:pStyle w:val="2"/>
        <w:keepNext w:val="0"/>
        <w:keepLines w:val="0"/>
        <w:widowControl/>
        <w:suppressLineNumbers w:val="0"/>
        <w:ind w:left="0" w:firstLine="420"/>
        <w:jc w:val="both"/>
      </w:pPr>
      <w:r>
        <w:t xml:space="preserve">——综合实力迈上新台阶。到2025年，生产总值达到140亿元，年均增长7%。人均GDP达到7.8万元。规模以上工业增加值达到65.8亿元，年均增长8%。社会消费品零售总额达到38.6亿元，年均增长8%。地方财政收入达到7.3亿元，年均增长3%。 </w:t>
      </w:r>
    </w:p>
    <w:p>
      <w:pPr>
        <w:pStyle w:val="2"/>
        <w:keepNext w:val="0"/>
        <w:keepLines w:val="0"/>
        <w:widowControl/>
        <w:suppressLineNumbers w:val="0"/>
        <w:ind w:left="0" w:firstLine="420"/>
        <w:jc w:val="both"/>
      </w:pPr>
      <w:r>
        <w:t xml:space="preserve">——结构调整取得新进展。三次产业“升一融二延三”初具成效，服务业增加值占GDP比重达到25.7%，消费对经济增长的贡献稳步提高，非公经济增长值占GDP的比重达到53.8%，现代产业体系基本建立，市场主体活力明显增强。 </w:t>
      </w:r>
    </w:p>
    <w:p>
      <w:pPr>
        <w:pStyle w:val="2"/>
        <w:keepNext w:val="0"/>
        <w:keepLines w:val="0"/>
        <w:widowControl/>
        <w:suppressLineNumbers w:val="0"/>
        <w:ind w:left="0" w:firstLine="420"/>
        <w:jc w:val="both"/>
      </w:pPr>
      <w:r>
        <w:t xml:space="preserve">——城乡协调实现新突破。“一体两翼三支撑”城乡格局基本形成，城区人口规模超过8万人，城镇化率达到45.5%以上。城镇辐射带动能力明显增强。乡村振兴稳步推进，城乡发展更趋协调。 </w:t>
      </w:r>
    </w:p>
    <w:p>
      <w:pPr>
        <w:pStyle w:val="2"/>
        <w:keepNext w:val="0"/>
        <w:keepLines w:val="0"/>
        <w:widowControl/>
        <w:suppressLineNumbers w:val="0"/>
        <w:ind w:left="0" w:firstLine="420"/>
        <w:jc w:val="both"/>
      </w:pPr>
      <w:r>
        <w:t xml:space="preserve">——生态文明彰显新成效。生态文明理念深入人心，绿色经济、循环经济和低碳经济加速发展，生活垃圾回收和资源利用率明显提升。森林覆盖率达到38.2%，万元GDP能耗、主要污染物排放等指标持续下降，出境水质稳定达到三类标准，空气质量稳居关中地区前列。 </w:t>
      </w:r>
    </w:p>
    <w:p>
      <w:pPr>
        <w:pStyle w:val="2"/>
        <w:keepNext w:val="0"/>
        <w:keepLines w:val="0"/>
        <w:widowControl/>
        <w:suppressLineNumbers w:val="0"/>
        <w:ind w:left="0" w:firstLine="420"/>
        <w:jc w:val="both"/>
      </w:pPr>
      <w:r>
        <w:t xml:space="preserve">——民生福祉得到新改善。脱贫攻坚成果进一步巩固拓展，城乡居民收入与经济保持同步增长，科技、教育、文化、体育、卫生等社会事业更加繁荣，医疗、就业、养老等公共服务均等化水平明显提高，多层次社会保障能力显著增强，社会治理体系和治理能力现代化水平大幅提升。 </w:t>
      </w:r>
    </w:p>
    <w:p>
      <w:pPr>
        <w:pStyle w:val="2"/>
        <w:keepNext w:val="0"/>
        <w:keepLines w:val="0"/>
        <w:widowControl/>
        <w:suppressLineNumbers w:val="0"/>
        <w:ind w:left="0" w:firstLine="420"/>
        <w:jc w:val="both"/>
      </w:pPr>
      <w:r>
        <w:t xml:space="preserve">六、远景展望 </w:t>
      </w:r>
    </w:p>
    <w:p>
      <w:pPr>
        <w:pStyle w:val="2"/>
        <w:keepNext w:val="0"/>
        <w:keepLines w:val="0"/>
        <w:widowControl/>
        <w:suppressLineNumbers w:val="0"/>
        <w:ind w:left="0" w:firstLine="420"/>
        <w:jc w:val="both"/>
      </w:pPr>
      <w:r>
        <w:t xml:space="preserve">到2035年，全县经济建设、政治建设、文化建设、社会建设、生态文明建设迈上新台阶，发展中存在的不平衡不充分问题得到基本破解，与全国同步基本实现社会主义现代化，长武新时代追赶超越新篇章更加辉煌。 </w:t>
      </w:r>
    </w:p>
    <w:p>
      <w:pPr>
        <w:pStyle w:val="2"/>
        <w:keepNext w:val="0"/>
        <w:keepLines w:val="0"/>
        <w:widowControl/>
        <w:suppressLineNumbers w:val="0"/>
        <w:ind w:left="0" w:firstLine="420"/>
        <w:jc w:val="both"/>
      </w:pPr>
      <w:r>
        <w:t xml:space="preserve">——综合实力大幅提升。在高质量发展的基础上，工业增加值水平持续提升，农业农村现代化基本实现，服务业多元化发展，形成具有长武特色的现代经济体系，人均地区生产总值较2020年翻一番。 </w:t>
      </w:r>
    </w:p>
    <w:p>
      <w:pPr>
        <w:pStyle w:val="2"/>
        <w:keepNext w:val="0"/>
        <w:keepLines w:val="0"/>
        <w:widowControl/>
        <w:suppressLineNumbers w:val="0"/>
        <w:ind w:left="0" w:firstLine="420"/>
        <w:jc w:val="both"/>
      </w:pPr>
      <w:r>
        <w:t xml:space="preserve">——创新驱动效果显著。全社会创新活力进一步加强，思想解放程度、创新投入力度、要素聚集引力、转化产出能力依次提升，全要素生产率对经济增长的贡献显著增强。 </w:t>
      </w:r>
    </w:p>
    <w:p>
      <w:pPr>
        <w:pStyle w:val="2"/>
        <w:keepNext w:val="0"/>
        <w:keepLines w:val="0"/>
        <w:widowControl/>
        <w:suppressLineNumbers w:val="0"/>
        <w:ind w:left="0" w:firstLine="420"/>
        <w:jc w:val="both"/>
      </w:pPr>
      <w:r>
        <w:t xml:space="preserve">——产业结构明显优化。能源主载困局得到有效破解，三次产业结构更趋合理，融合发展更加紧密，农业为基、工业带动、三产支撑的产业结构基本形成。 </w:t>
      </w:r>
    </w:p>
    <w:p>
      <w:pPr>
        <w:pStyle w:val="2"/>
        <w:keepNext w:val="0"/>
        <w:keepLines w:val="0"/>
        <w:widowControl/>
        <w:suppressLineNumbers w:val="0"/>
        <w:ind w:left="0" w:firstLine="420"/>
        <w:jc w:val="both"/>
      </w:pPr>
      <w:r>
        <w:t xml:space="preserve">——城乡发展更加协调。“一城三基地”在渭北高原和陕甘宁边区城市群中的重要位置更加凸显，机场、高铁等现代化交通体系基本建成，陕西“西大门”名片更加靓丽。 </w:t>
      </w:r>
    </w:p>
    <w:p>
      <w:pPr>
        <w:pStyle w:val="2"/>
        <w:keepNext w:val="0"/>
        <w:keepLines w:val="0"/>
        <w:widowControl/>
        <w:suppressLineNumbers w:val="0"/>
        <w:ind w:left="0" w:firstLine="420"/>
        <w:jc w:val="both"/>
      </w:pPr>
      <w:r>
        <w:t xml:space="preserve">——生态环境持续好转。绿水青山就是金山银山的理念深入人心，绿色、循环生产生活方式广泛形成，单位生产总值能耗降至全市平均水平，长武大地山更青、水更绿、天更蓝。 </w:t>
      </w:r>
    </w:p>
    <w:p>
      <w:pPr>
        <w:pStyle w:val="2"/>
        <w:keepNext w:val="0"/>
        <w:keepLines w:val="0"/>
        <w:widowControl/>
        <w:suppressLineNumbers w:val="0"/>
        <w:ind w:left="0" w:firstLine="420"/>
        <w:jc w:val="both"/>
      </w:pPr>
      <w:r>
        <w:t xml:space="preserve">——民生福祉不断改善。乡村振兴成效显著，社会民生领域布局不均衡、发展不充分的矛盾得到有效缓解，城乡居民收入稳步提升，社会保障和基本公共服务更加公平。 </w:t>
      </w:r>
    </w:p>
    <w:p>
      <w:pPr>
        <w:pStyle w:val="2"/>
        <w:keepNext w:val="0"/>
        <w:keepLines w:val="0"/>
        <w:widowControl/>
        <w:suppressLineNumbers w:val="0"/>
        <w:ind w:left="0" w:firstLine="420"/>
        <w:jc w:val="center"/>
      </w:pPr>
      <w:r>
        <w:t xml:space="preserve">表2：长武县“十四五”经济社会发展主要指标 </w:t>
      </w:r>
    </w:p>
    <w:tbl>
      <w:tblPr>
        <w:tblW w:w="0" w:type="auto"/>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690"/>
        <w:gridCol w:w="1633"/>
        <w:gridCol w:w="1256"/>
        <w:gridCol w:w="1119"/>
        <w:gridCol w:w="885"/>
        <w:gridCol w:w="1178"/>
        <w:gridCol w:w="885"/>
        <w:gridCol w:w="365"/>
        <w:gridCol w:w="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0" w:type="dxa"/>
          <w:jc w:val="center"/>
        </w:trPr>
        <w:tc>
          <w:tcPr>
            <w:tcW w:w="372" w:type="dxa"/>
            <w:shd w:val="clear"/>
            <w:vAlign w:val="center"/>
          </w:tcPr>
          <w:p>
            <w:pPr>
              <w:pStyle w:val="2"/>
              <w:keepNext w:val="0"/>
              <w:keepLines w:val="0"/>
              <w:widowControl/>
              <w:suppressLineNumbers w:val="0"/>
              <w:ind w:left="0" w:firstLine="420"/>
              <w:jc w:val="both"/>
            </w:pPr>
            <w:r>
              <w:t xml:space="preserve">类别 </w:t>
            </w:r>
          </w:p>
        </w:tc>
        <w:tc>
          <w:tcPr>
            <w:tcW w:w="3108" w:type="dxa"/>
            <w:gridSpan w:val="2"/>
            <w:shd w:val="clear"/>
            <w:vAlign w:val="center"/>
          </w:tcPr>
          <w:p>
            <w:pPr>
              <w:pStyle w:val="2"/>
              <w:keepNext w:val="0"/>
              <w:keepLines w:val="0"/>
              <w:widowControl/>
              <w:suppressLineNumbers w:val="0"/>
              <w:ind w:left="0" w:firstLine="420"/>
              <w:jc w:val="center"/>
            </w:pPr>
            <w:r>
              <w:t xml:space="preserve">指标名称 </w:t>
            </w:r>
          </w:p>
        </w:tc>
        <w:tc>
          <w:tcPr>
            <w:tcW w:w="840" w:type="dxa"/>
            <w:shd w:val="clear"/>
            <w:vAlign w:val="center"/>
          </w:tcPr>
          <w:p>
            <w:pPr>
              <w:pStyle w:val="2"/>
              <w:keepNext w:val="0"/>
              <w:keepLines w:val="0"/>
              <w:widowControl/>
              <w:suppressLineNumbers w:val="0"/>
              <w:ind w:left="0" w:firstLine="420"/>
              <w:jc w:val="center"/>
            </w:pPr>
            <w:r>
              <w:t>2020年</w:t>
            </w:r>
            <w:r>
              <w:br w:type="textWrapping"/>
            </w:r>
            <w:r>
              <w:t xml:space="preserve">完成 </w:t>
            </w:r>
          </w:p>
        </w:tc>
        <w:tc>
          <w:tcPr>
            <w:tcW w:w="744" w:type="dxa"/>
            <w:shd w:val="clear"/>
            <w:vAlign w:val="center"/>
          </w:tcPr>
          <w:p>
            <w:pPr>
              <w:pStyle w:val="2"/>
              <w:keepNext w:val="0"/>
              <w:keepLines w:val="0"/>
              <w:widowControl/>
              <w:suppressLineNumbers w:val="0"/>
              <w:ind w:left="0" w:firstLine="420"/>
              <w:jc w:val="center"/>
            </w:pPr>
            <w:r>
              <w:t xml:space="preserve">十三五 </w:t>
            </w:r>
          </w:p>
          <w:p>
            <w:pPr>
              <w:pStyle w:val="2"/>
              <w:keepNext w:val="0"/>
              <w:keepLines w:val="0"/>
              <w:widowControl/>
              <w:suppressLineNumbers w:val="0"/>
              <w:ind w:left="0" w:firstLine="420"/>
              <w:jc w:val="center"/>
            </w:pPr>
            <w:r>
              <w:t xml:space="preserve">年均增速 </w:t>
            </w:r>
          </w:p>
        </w:tc>
        <w:tc>
          <w:tcPr>
            <w:tcW w:w="768" w:type="dxa"/>
            <w:shd w:val="clear"/>
            <w:vAlign w:val="center"/>
          </w:tcPr>
          <w:p>
            <w:pPr>
              <w:pStyle w:val="2"/>
              <w:keepNext w:val="0"/>
              <w:keepLines w:val="0"/>
              <w:widowControl/>
              <w:suppressLineNumbers w:val="0"/>
              <w:ind w:left="0" w:firstLine="420"/>
              <w:jc w:val="center"/>
            </w:pPr>
            <w:r>
              <w:t>2025年</w:t>
            </w:r>
            <w:r>
              <w:br w:type="textWrapping"/>
            </w:r>
            <w:r>
              <w:t xml:space="preserve">预期 </w:t>
            </w:r>
          </w:p>
        </w:tc>
        <w:tc>
          <w:tcPr>
            <w:tcW w:w="648" w:type="dxa"/>
            <w:shd w:val="clear"/>
            <w:vAlign w:val="center"/>
          </w:tcPr>
          <w:p>
            <w:pPr>
              <w:pStyle w:val="2"/>
              <w:keepNext w:val="0"/>
              <w:keepLines w:val="0"/>
              <w:widowControl/>
              <w:suppressLineNumbers w:val="0"/>
              <w:ind w:left="0" w:firstLine="420"/>
              <w:jc w:val="center"/>
            </w:pPr>
            <w:r>
              <w:t>年均</w:t>
            </w:r>
            <w:r>
              <w:br w:type="textWrapping"/>
            </w:r>
            <w:r>
              <w:t xml:space="preserve">增速 </w:t>
            </w:r>
          </w:p>
        </w:tc>
        <w:tc>
          <w:tcPr>
            <w:tcW w:w="600" w:type="dxa"/>
            <w:gridSpan w:val="2"/>
            <w:shd w:val="clear"/>
            <w:vAlign w:val="center"/>
          </w:tcPr>
          <w:p>
            <w:pPr>
              <w:pStyle w:val="2"/>
              <w:keepNext w:val="0"/>
              <w:keepLines w:val="0"/>
              <w:widowControl/>
              <w:suppressLineNumbers w:val="0"/>
              <w:ind w:left="0" w:firstLine="420"/>
              <w:jc w:val="center"/>
            </w:pPr>
            <w:r>
              <w:t xml:space="preserve">属性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经济</w:t>
            </w:r>
            <w:r>
              <w:br w:type="textWrapping"/>
            </w:r>
            <w:r>
              <w:t xml:space="preserve">增长 </w:t>
            </w:r>
          </w:p>
        </w:tc>
        <w:tc>
          <w:tcPr>
            <w:tcW w:w="3108" w:type="dxa"/>
            <w:gridSpan w:val="2"/>
            <w:shd w:val="clear"/>
            <w:vAlign w:val="center"/>
          </w:tcPr>
          <w:p>
            <w:pPr>
              <w:pStyle w:val="2"/>
              <w:keepNext w:val="0"/>
              <w:keepLines w:val="0"/>
              <w:widowControl/>
              <w:suppressLineNumbers w:val="0"/>
              <w:ind w:left="0" w:firstLine="420"/>
            </w:pPr>
            <w:r>
              <w:t xml:space="preserve">地区生产总值（亿元） </w:t>
            </w:r>
          </w:p>
        </w:tc>
        <w:tc>
          <w:tcPr>
            <w:tcW w:w="840" w:type="dxa"/>
            <w:shd w:val="clear"/>
            <w:vAlign w:val="center"/>
          </w:tcPr>
          <w:p>
            <w:pPr>
              <w:pStyle w:val="2"/>
              <w:keepNext w:val="0"/>
              <w:keepLines w:val="0"/>
              <w:widowControl/>
              <w:suppressLineNumbers w:val="0"/>
              <w:ind w:left="0" w:firstLine="420"/>
              <w:jc w:val="center"/>
            </w:pPr>
            <w:r>
              <w:t xml:space="preserve">99.15 </w:t>
            </w:r>
          </w:p>
        </w:tc>
        <w:tc>
          <w:tcPr>
            <w:tcW w:w="744" w:type="dxa"/>
            <w:shd w:val="clear"/>
            <w:vAlign w:val="center"/>
          </w:tcPr>
          <w:p>
            <w:pPr>
              <w:pStyle w:val="2"/>
              <w:keepNext w:val="0"/>
              <w:keepLines w:val="0"/>
              <w:widowControl/>
              <w:suppressLineNumbers w:val="0"/>
              <w:ind w:left="0" w:firstLine="420"/>
              <w:jc w:val="center"/>
            </w:pPr>
            <w:r>
              <w:t xml:space="preserve">13 </w:t>
            </w:r>
          </w:p>
        </w:tc>
        <w:tc>
          <w:tcPr>
            <w:tcW w:w="768" w:type="dxa"/>
            <w:shd w:val="clear"/>
            <w:vAlign w:val="center"/>
          </w:tcPr>
          <w:p>
            <w:pPr>
              <w:pStyle w:val="2"/>
              <w:keepNext w:val="0"/>
              <w:keepLines w:val="0"/>
              <w:widowControl/>
              <w:suppressLineNumbers w:val="0"/>
              <w:ind w:left="0" w:firstLine="420"/>
              <w:jc w:val="center"/>
            </w:pPr>
            <w:r>
              <w:t xml:space="preserve">140 </w:t>
            </w:r>
          </w:p>
        </w:tc>
        <w:tc>
          <w:tcPr>
            <w:tcW w:w="648" w:type="dxa"/>
            <w:shd w:val="clear"/>
            <w:vAlign w:val="center"/>
          </w:tcPr>
          <w:p>
            <w:pPr>
              <w:pStyle w:val="2"/>
              <w:keepNext w:val="0"/>
              <w:keepLines w:val="0"/>
              <w:widowControl/>
              <w:suppressLineNumbers w:val="0"/>
              <w:ind w:left="0" w:firstLine="420"/>
              <w:jc w:val="center"/>
            </w:pPr>
            <w:r>
              <w:t xml:space="preserve">7 </w:t>
            </w:r>
          </w:p>
        </w:tc>
        <w:tc>
          <w:tcPr>
            <w:tcW w:w="600" w:type="dxa"/>
            <w:gridSpan w:val="2"/>
            <w:vMerge w:val="restart"/>
            <w:shd w:val="clear"/>
            <w:vAlign w:val="center"/>
          </w:tcPr>
          <w:p>
            <w:pPr>
              <w:pStyle w:val="2"/>
              <w:keepNext w:val="0"/>
              <w:keepLines w:val="0"/>
              <w:widowControl/>
              <w:suppressLineNumbers w:val="0"/>
              <w:ind w:left="0" w:firstLine="420"/>
              <w:jc w:val="center"/>
            </w:pPr>
            <w:r>
              <w:t xml:space="preserve">预期性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全社会固定资产投资（亿元） </w:t>
            </w:r>
          </w:p>
        </w:tc>
        <w:tc>
          <w:tcPr>
            <w:tcW w:w="840" w:type="dxa"/>
            <w:shd w:val="clear"/>
            <w:vAlign w:val="center"/>
          </w:tcPr>
          <w:p>
            <w:pPr>
              <w:pStyle w:val="2"/>
              <w:keepNext w:val="0"/>
              <w:keepLines w:val="0"/>
              <w:widowControl/>
              <w:suppressLineNumbers w:val="0"/>
              <w:ind w:left="0" w:firstLine="420"/>
              <w:jc w:val="center"/>
            </w:pPr>
            <w:r>
              <w:t xml:space="preserve">116.14 </w:t>
            </w:r>
          </w:p>
        </w:tc>
        <w:tc>
          <w:tcPr>
            <w:tcW w:w="744" w:type="dxa"/>
            <w:shd w:val="clear"/>
            <w:vAlign w:val="center"/>
          </w:tcPr>
          <w:p>
            <w:pPr>
              <w:pStyle w:val="2"/>
              <w:keepNext w:val="0"/>
              <w:keepLines w:val="0"/>
              <w:widowControl/>
              <w:suppressLineNumbers w:val="0"/>
              <w:ind w:left="0" w:firstLine="420"/>
              <w:jc w:val="center"/>
            </w:pPr>
            <w:r>
              <w:t xml:space="preserve">3.2 </w:t>
            </w:r>
          </w:p>
        </w:tc>
        <w:tc>
          <w:tcPr>
            <w:tcW w:w="768" w:type="dxa"/>
            <w:shd w:val="clear"/>
            <w:vAlign w:val="center"/>
          </w:tcPr>
          <w:p>
            <w:pPr>
              <w:pStyle w:val="2"/>
              <w:keepNext w:val="0"/>
              <w:keepLines w:val="0"/>
              <w:widowControl/>
              <w:suppressLineNumbers w:val="0"/>
              <w:ind w:left="0" w:firstLine="420"/>
              <w:jc w:val="center"/>
            </w:pPr>
            <w:r>
              <w:t xml:space="preserve">170.6 </w:t>
            </w:r>
          </w:p>
        </w:tc>
        <w:tc>
          <w:tcPr>
            <w:tcW w:w="648" w:type="dxa"/>
            <w:shd w:val="clear"/>
            <w:vAlign w:val="center"/>
          </w:tcPr>
          <w:p>
            <w:pPr>
              <w:pStyle w:val="2"/>
              <w:keepNext w:val="0"/>
              <w:keepLines w:val="0"/>
              <w:widowControl/>
              <w:suppressLineNumbers w:val="0"/>
              <w:ind w:left="0" w:firstLine="420"/>
              <w:jc w:val="center"/>
            </w:pPr>
            <w:r>
              <w:t xml:space="preserve">8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社会消费品零售总额（亿元） </w:t>
            </w:r>
          </w:p>
        </w:tc>
        <w:tc>
          <w:tcPr>
            <w:tcW w:w="840" w:type="dxa"/>
            <w:shd w:val="clear"/>
            <w:vAlign w:val="center"/>
          </w:tcPr>
          <w:p>
            <w:pPr>
              <w:pStyle w:val="2"/>
              <w:keepNext w:val="0"/>
              <w:keepLines w:val="0"/>
              <w:widowControl/>
              <w:suppressLineNumbers w:val="0"/>
              <w:ind w:left="0" w:firstLine="420"/>
              <w:jc w:val="center"/>
            </w:pPr>
            <w:r>
              <w:t xml:space="preserve">26.28 </w:t>
            </w:r>
          </w:p>
        </w:tc>
        <w:tc>
          <w:tcPr>
            <w:tcW w:w="744" w:type="dxa"/>
            <w:shd w:val="clear"/>
            <w:vAlign w:val="center"/>
          </w:tcPr>
          <w:p>
            <w:pPr>
              <w:pStyle w:val="2"/>
              <w:keepNext w:val="0"/>
              <w:keepLines w:val="0"/>
              <w:widowControl/>
              <w:suppressLineNumbers w:val="0"/>
              <w:ind w:left="0" w:firstLine="420"/>
              <w:jc w:val="center"/>
            </w:pPr>
            <w:r>
              <w:t xml:space="preserve">11.7 </w:t>
            </w:r>
          </w:p>
        </w:tc>
        <w:tc>
          <w:tcPr>
            <w:tcW w:w="768" w:type="dxa"/>
            <w:shd w:val="clear"/>
            <w:vAlign w:val="center"/>
          </w:tcPr>
          <w:p>
            <w:pPr>
              <w:pStyle w:val="2"/>
              <w:keepNext w:val="0"/>
              <w:keepLines w:val="0"/>
              <w:widowControl/>
              <w:suppressLineNumbers w:val="0"/>
              <w:ind w:left="0" w:firstLine="420"/>
              <w:jc w:val="center"/>
            </w:pPr>
            <w:r>
              <w:t xml:space="preserve">38.6 </w:t>
            </w:r>
          </w:p>
        </w:tc>
        <w:tc>
          <w:tcPr>
            <w:tcW w:w="648" w:type="dxa"/>
            <w:shd w:val="clear"/>
            <w:vAlign w:val="center"/>
          </w:tcPr>
          <w:p>
            <w:pPr>
              <w:pStyle w:val="2"/>
              <w:keepNext w:val="0"/>
              <w:keepLines w:val="0"/>
              <w:widowControl/>
              <w:suppressLineNumbers w:val="0"/>
              <w:ind w:left="0" w:firstLine="420"/>
              <w:jc w:val="center"/>
            </w:pPr>
            <w:r>
              <w:t xml:space="preserve">8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规模以上工业增加值(亿元) </w:t>
            </w:r>
          </w:p>
        </w:tc>
        <w:tc>
          <w:tcPr>
            <w:tcW w:w="840" w:type="dxa"/>
            <w:shd w:val="clear"/>
            <w:vAlign w:val="center"/>
          </w:tcPr>
          <w:p>
            <w:pPr>
              <w:pStyle w:val="2"/>
              <w:keepNext w:val="0"/>
              <w:keepLines w:val="0"/>
              <w:widowControl/>
              <w:suppressLineNumbers w:val="0"/>
              <w:ind w:left="0" w:firstLine="420"/>
              <w:jc w:val="center"/>
            </w:pPr>
            <w:r>
              <w:t xml:space="preserve">44.96 </w:t>
            </w:r>
          </w:p>
        </w:tc>
        <w:tc>
          <w:tcPr>
            <w:tcW w:w="744" w:type="dxa"/>
            <w:shd w:val="clear"/>
            <w:vAlign w:val="center"/>
          </w:tcPr>
          <w:p>
            <w:pPr>
              <w:pStyle w:val="2"/>
              <w:keepNext w:val="0"/>
              <w:keepLines w:val="0"/>
              <w:widowControl/>
              <w:suppressLineNumbers w:val="0"/>
              <w:ind w:left="0" w:firstLine="420"/>
              <w:jc w:val="center"/>
            </w:pPr>
            <w:r>
              <w:t xml:space="preserve">10.9 </w:t>
            </w:r>
          </w:p>
        </w:tc>
        <w:tc>
          <w:tcPr>
            <w:tcW w:w="768" w:type="dxa"/>
            <w:shd w:val="clear"/>
            <w:vAlign w:val="center"/>
          </w:tcPr>
          <w:p>
            <w:pPr>
              <w:pStyle w:val="2"/>
              <w:keepNext w:val="0"/>
              <w:keepLines w:val="0"/>
              <w:widowControl/>
              <w:suppressLineNumbers w:val="0"/>
              <w:ind w:left="0" w:firstLine="420"/>
              <w:jc w:val="center"/>
            </w:pPr>
            <w:r>
              <w:t xml:space="preserve">65.8 </w:t>
            </w:r>
          </w:p>
        </w:tc>
        <w:tc>
          <w:tcPr>
            <w:tcW w:w="648" w:type="dxa"/>
            <w:shd w:val="clear"/>
            <w:vAlign w:val="center"/>
          </w:tcPr>
          <w:p>
            <w:pPr>
              <w:pStyle w:val="2"/>
              <w:keepNext w:val="0"/>
              <w:keepLines w:val="0"/>
              <w:widowControl/>
              <w:suppressLineNumbers w:val="0"/>
              <w:ind w:left="0" w:firstLine="420"/>
              <w:jc w:val="center"/>
            </w:pPr>
            <w:r>
              <w:t xml:space="preserve">8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创新</w:t>
            </w:r>
            <w:r>
              <w:br w:type="textWrapping"/>
            </w:r>
            <w:r>
              <w:t xml:space="preserve">驱动 </w:t>
            </w:r>
          </w:p>
        </w:tc>
        <w:tc>
          <w:tcPr>
            <w:tcW w:w="3108" w:type="dxa"/>
            <w:gridSpan w:val="2"/>
            <w:shd w:val="clear"/>
            <w:vAlign w:val="center"/>
          </w:tcPr>
          <w:p>
            <w:pPr>
              <w:pStyle w:val="2"/>
              <w:keepNext w:val="0"/>
              <w:keepLines w:val="0"/>
              <w:widowControl/>
              <w:suppressLineNumbers w:val="0"/>
              <w:ind w:left="0" w:firstLine="420"/>
            </w:pPr>
            <w:r>
              <w:t xml:space="preserve">研发经费占生产总值的比重（%） </w:t>
            </w:r>
          </w:p>
        </w:tc>
        <w:tc>
          <w:tcPr>
            <w:tcW w:w="840" w:type="dxa"/>
            <w:shd w:val="clear"/>
            <w:vAlign w:val="center"/>
          </w:tcPr>
          <w:p>
            <w:pPr>
              <w:pStyle w:val="2"/>
              <w:keepNext w:val="0"/>
              <w:keepLines w:val="0"/>
              <w:widowControl/>
              <w:suppressLineNumbers w:val="0"/>
              <w:ind w:left="0" w:firstLine="420"/>
              <w:jc w:val="center"/>
            </w:pPr>
            <w:r>
              <w:t xml:space="preserve">0.1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0.2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战略性新兴产业增加值占GDP比重（%） </w:t>
            </w:r>
          </w:p>
        </w:tc>
        <w:tc>
          <w:tcPr>
            <w:tcW w:w="840" w:type="dxa"/>
            <w:shd w:val="clear"/>
            <w:vAlign w:val="center"/>
          </w:tcPr>
          <w:p>
            <w:pPr>
              <w:pStyle w:val="2"/>
              <w:keepNext w:val="0"/>
              <w:keepLines w:val="0"/>
              <w:widowControl/>
              <w:suppressLineNumbers w:val="0"/>
              <w:ind w:left="0" w:firstLine="420"/>
              <w:jc w:val="center"/>
            </w:pPr>
            <w:r>
              <w:t xml:space="preserve">0.3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0.5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质量</w:t>
            </w:r>
            <w:r>
              <w:br w:type="textWrapping"/>
            </w:r>
            <w:r>
              <w:t xml:space="preserve">效益 </w:t>
            </w:r>
          </w:p>
        </w:tc>
        <w:tc>
          <w:tcPr>
            <w:tcW w:w="3108" w:type="dxa"/>
            <w:gridSpan w:val="2"/>
            <w:shd w:val="clear"/>
            <w:vAlign w:val="center"/>
          </w:tcPr>
          <w:p>
            <w:pPr>
              <w:pStyle w:val="2"/>
              <w:keepNext w:val="0"/>
              <w:keepLines w:val="0"/>
              <w:widowControl/>
              <w:suppressLineNumbers w:val="0"/>
              <w:ind w:left="0" w:firstLine="420"/>
            </w:pPr>
            <w:r>
              <w:t xml:space="preserve">全员劳动生产率（万元/人） </w:t>
            </w:r>
          </w:p>
        </w:tc>
        <w:tc>
          <w:tcPr>
            <w:tcW w:w="840" w:type="dxa"/>
            <w:shd w:val="clear"/>
            <w:vAlign w:val="center"/>
          </w:tcPr>
          <w:p>
            <w:pPr>
              <w:pStyle w:val="2"/>
              <w:keepNext w:val="0"/>
              <w:keepLines w:val="0"/>
              <w:widowControl/>
              <w:suppressLineNumbers w:val="0"/>
              <w:ind w:left="0" w:firstLine="420"/>
              <w:jc w:val="center"/>
            </w:pPr>
            <w:r>
              <w:t xml:space="preserve">5.6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7.8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地方财政收入（亿元） </w:t>
            </w:r>
          </w:p>
        </w:tc>
        <w:tc>
          <w:tcPr>
            <w:tcW w:w="840" w:type="dxa"/>
            <w:shd w:val="clear"/>
            <w:vAlign w:val="center"/>
          </w:tcPr>
          <w:p>
            <w:pPr>
              <w:pStyle w:val="2"/>
              <w:keepNext w:val="0"/>
              <w:keepLines w:val="0"/>
              <w:widowControl/>
              <w:suppressLineNumbers w:val="0"/>
              <w:ind w:left="0" w:firstLine="420"/>
              <w:jc w:val="center"/>
            </w:pPr>
            <w:r>
              <w:t xml:space="preserve">6.3 </w:t>
            </w:r>
          </w:p>
        </w:tc>
        <w:tc>
          <w:tcPr>
            <w:tcW w:w="744" w:type="dxa"/>
            <w:shd w:val="clear"/>
            <w:vAlign w:val="center"/>
          </w:tcPr>
          <w:p>
            <w:pPr>
              <w:pStyle w:val="2"/>
              <w:keepNext w:val="0"/>
              <w:keepLines w:val="0"/>
              <w:widowControl/>
              <w:suppressLineNumbers w:val="0"/>
              <w:ind w:left="0" w:firstLine="420"/>
              <w:jc w:val="center"/>
            </w:pPr>
            <w:r>
              <w:t xml:space="preserve">12.4 </w:t>
            </w:r>
          </w:p>
        </w:tc>
        <w:tc>
          <w:tcPr>
            <w:tcW w:w="768" w:type="dxa"/>
            <w:shd w:val="clear"/>
            <w:vAlign w:val="center"/>
          </w:tcPr>
          <w:p>
            <w:pPr>
              <w:pStyle w:val="2"/>
              <w:keepNext w:val="0"/>
              <w:keepLines w:val="0"/>
              <w:widowControl/>
              <w:suppressLineNumbers w:val="0"/>
              <w:ind w:left="0" w:firstLine="420"/>
              <w:jc w:val="center"/>
            </w:pPr>
            <w:r>
              <w:t xml:space="preserve">7.3 </w:t>
            </w:r>
          </w:p>
        </w:tc>
        <w:tc>
          <w:tcPr>
            <w:tcW w:w="648" w:type="dxa"/>
            <w:shd w:val="clear"/>
            <w:vAlign w:val="center"/>
          </w:tcPr>
          <w:p>
            <w:pPr>
              <w:pStyle w:val="2"/>
              <w:keepNext w:val="0"/>
              <w:keepLines w:val="0"/>
              <w:widowControl/>
              <w:suppressLineNumbers w:val="0"/>
              <w:ind w:left="0" w:firstLine="420"/>
              <w:jc w:val="center"/>
            </w:pPr>
            <w:r>
              <w:t xml:space="preserve">3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常住人口城镇化率（%） </w:t>
            </w:r>
          </w:p>
        </w:tc>
        <w:tc>
          <w:tcPr>
            <w:tcW w:w="840" w:type="dxa"/>
            <w:shd w:val="clear"/>
            <w:vAlign w:val="center"/>
          </w:tcPr>
          <w:p>
            <w:pPr>
              <w:pStyle w:val="2"/>
              <w:keepNext w:val="0"/>
              <w:keepLines w:val="0"/>
              <w:widowControl/>
              <w:suppressLineNumbers w:val="0"/>
              <w:ind w:left="0" w:firstLine="420"/>
              <w:jc w:val="center"/>
            </w:pPr>
            <w:r>
              <w:t xml:space="preserve">41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&gt;45.5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单位国内生产总值建设用地使用面积降低（%） </w:t>
            </w:r>
          </w:p>
        </w:tc>
        <w:tc>
          <w:tcPr>
            <w:tcW w:w="840" w:type="dxa"/>
            <w:shd w:val="clear"/>
            <w:vAlign w:val="center"/>
          </w:tcPr>
          <w:p>
            <w:pPr>
              <w:rPr>
                <w:rFonts w:hint="eastAsia" w:ascii="宋体"/>
                <w:sz w:val="24"/>
                <w:szCs w:val="24"/>
              </w:rPr>
            </w:pPr>
          </w:p>
        </w:tc>
        <w:tc>
          <w:tcPr>
            <w:tcW w:w="744" w:type="dxa"/>
            <w:shd w:val="clear"/>
            <w:vAlign w:val="center"/>
          </w:tcPr>
          <w:p>
            <w:pPr>
              <w:rPr>
                <w:rFonts w:hint="eastAsia" w:ascii="宋体"/>
                <w:sz w:val="24"/>
                <w:szCs w:val="24"/>
              </w:rPr>
            </w:pPr>
          </w:p>
        </w:tc>
        <w:tc>
          <w:tcPr>
            <w:tcW w:w="768" w:type="dxa"/>
            <w:shd w:val="clear"/>
            <w:vAlign w:val="center"/>
          </w:tcPr>
          <w:p>
            <w:pPr>
              <w:rPr>
                <w:rFonts w:hint="eastAsia" w:ascii="宋体"/>
                <w:sz w:val="24"/>
                <w:szCs w:val="24"/>
              </w:rPr>
            </w:pPr>
          </w:p>
        </w:tc>
        <w:tc>
          <w:tcPr>
            <w:tcW w:w="648" w:type="dxa"/>
            <w:shd w:val="clear"/>
            <w:vAlign w:val="center"/>
          </w:tcPr>
          <w:p>
            <w:pPr>
              <w:pStyle w:val="2"/>
              <w:keepNext w:val="0"/>
              <w:keepLines w:val="0"/>
              <w:widowControl/>
              <w:suppressLineNumbers w:val="0"/>
              <w:ind w:left="0" w:firstLine="420"/>
              <w:jc w:val="center"/>
            </w:pPr>
            <w:r>
              <w:t xml:space="preserve">10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服务业增加值占GDP比重（%） </w:t>
            </w:r>
          </w:p>
        </w:tc>
        <w:tc>
          <w:tcPr>
            <w:tcW w:w="840" w:type="dxa"/>
            <w:shd w:val="clear"/>
            <w:vAlign w:val="center"/>
          </w:tcPr>
          <w:p>
            <w:pPr>
              <w:pStyle w:val="2"/>
              <w:keepNext w:val="0"/>
              <w:keepLines w:val="0"/>
              <w:widowControl/>
              <w:suppressLineNumbers w:val="0"/>
              <w:ind w:left="0" w:firstLine="420"/>
              <w:jc w:val="center"/>
            </w:pPr>
            <w:r>
              <w:t xml:space="preserve">22.2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25.7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工业用地亩均税收（万元/亩） </w:t>
            </w:r>
          </w:p>
        </w:tc>
        <w:tc>
          <w:tcPr>
            <w:tcW w:w="840" w:type="dxa"/>
            <w:shd w:val="clear"/>
            <w:vAlign w:val="center"/>
          </w:tcPr>
          <w:p>
            <w:pPr>
              <w:rPr>
                <w:rFonts w:hint="eastAsia" w:ascii="宋体"/>
                <w:sz w:val="24"/>
                <w:szCs w:val="24"/>
              </w:rPr>
            </w:pP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30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工业用地亩均产值（万元/亩） </w:t>
            </w:r>
          </w:p>
        </w:tc>
        <w:tc>
          <w:tcPr>
            <w:tcW w:w="840" w:type="dxa"/>
            <w:shd w:val="clear"/>
            <w:vAlign w:val="center"/>
          </w:tcPr>
          <w:p>
            <w:pPr>
              <w:rPr>
                <w:rFonts w:hint="eastAsia" w:ascii="宋体"/>
                <w:sz w:val="24"/>
                <w:szCs w:val="24"/>
              </w:rPr>
            </w:pP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500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改革</w:t>
            </w:r>
            <w:r>
              <w:br w:type="textWrapping"/>
            </w:r>
            <w:r>
              <w:t xml:space="preserve">开放 </w:t>
            </w:r>
          </w:p>
        </w:tc>
        <w:tc>
          <w:tcPr>
            <w:tcW w:w="3108" w:type="dxa"/>
            <w:gridSpan w:val="2"/>
            <w:shd w:val="clear"/>
            <w:vAlign w:val="center"/>
          </w:tcPr>
          <w:p>
            <w:pPr>
              <w:pStyle w:val="2"/>
              <w:keepNext w:val="0"/>
              <w:keepLines w:val="0"/>
              <w:widowControl/>
              <w:suppressLineNumbers w:val="0"/>
              <w:ind w:left="0" w:firstLine="420"/>
            </w:pPr>
            <w:r>
              <w:t xml:space="preserve">进出口贸易总额增速（%） </w:t>
            </w:r>
          </w:p>
        </w:tc>
        <w:tc>
          <w:tcPr>
            <w:tcW w:w="840" w:type="dxa"/>
            <w:shd w:val="clear"/>
            <w:vAlign w:val="center"/>
          </w:tcPr>
          <w:p>
            <w:pPr>
              <w:pStyle w:val="2"/>
              <w:keepNext w:val="0"/>
              <w:keepLines w:val="0"/>
              <w:widowControl/>
              <w:suppressLineNumbers w:val="0"/>
              <w:ind w:left="0" w:firstLine="420"/>
              <w:jc w:val="center"/>
            </w:pPr>
            <w:r>
              <w:t xml:space="preserve">—— </w:t>
            </w:r>
          </w:p>
        </w:tc>
        <w:tc>
          <w:tcPr>
            <w:tcW w:w="744" w:type="dxa"/>
            <w:shd w:val="clear"/>
            <w:vAlign w:val="center"/>
          </w:tcPr>
          <w:p>
            <w:pPr>
              <w:pStyle w:val="2"/>
              <w:keepNext w:val="0"/>
              <w:keepLines w:val="0"/>
              <w:widowControl/>
              <w:suppressLineNumbers w:val="0"/>
              <w:ind w:left="0" w:firstLine="420"/>
              <w:jc w:val="center"/>
            </w:pPr>
            <w:r>
              <w:t xml:space="preserve">—— </w:t>
            </w:r>
          </w:p>
        </w:tc>
        <w:tc>
          <w:tcPr>
            <w:tcW w:w="768" w:type="dxa"/>
            <w:shd w:val="clear"/>
            <w:vAlign w:val="center"/>
          </w:tcPr>
          <w:p>
            <w:pPr>
              <w:pStyle w:val="2"/>
              <w:keepNext w:val="0"/>
              <w:keepLines w:val="0"/>
              <w:widowControl/>
              <w:suppressLineNumbers w:val="0"/>
              <w:ind w:left="0" w:firstLine="420"/>
              <w:jc w:val="center"/>
            </w:pPr>
            <w:r>
              <w:t xml:space="preserve">—— </w:t>
            </w:r>
          </w:p>
        </w:tc>
        <w:tc>
          <w:tcPr>
            <w:tcW w:w="648" w:type="dxa"/>
            <w:shd w:val="clear"/>
            <w:vAlign w:val="center"/>
          </w:tcPr>
          <w:p>
            <w:pPr>
              <w:pStyle w:val="2"/>
              <w:keepNext w:val="0"/>
              <w:keepLines w:val="0"/>
              <w:widowControl/>
              <w:suppressLineNumbers w:val="0"/>
              <w:ind w:left="0" w:firstLine="420"/>
              <w:jc w:val="center"/>
            </w:pPr>
            <w:r>
              <w:t xml:space="preserve">——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非公经济增加值占GDP比重（%） </w:t>
            </w:r>
          </w:p>
        </w:tc>
        <w:tc>
          <w:tcPr>
            <w:tcW w:w="840" w:type="dxa"/>
            <w:shd w:val="clear"/>
            <w:vAlign w:val="center"/>
          </w:tcPr>
          <w:p>
            <w:pPr>
              <w:pStyle w:val="2"/>
              <w:keepNext w:val="0"/>
              <w:keepLines w:val="0"/>
              <w:widowControl/>
              <w:suppressLineNumbers w:val="0"/>
              <w:ind w:left="0" w:firstLine="420"/>
              <w:jc w:val="center"/>
            </w:pPr>
            <w:r>
              <w:t xml:space="preserve">50.22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53.8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新增市场主体增长率（%） </w:t>
            </w:r>
          </w:p>
        </w:tc>
        <w:tc>
          <w:tcPr>
            <w:tcW w:w="840" w:type="dxa"/>
            <w:shd w:val="clear"/>
            <w:vAlign w:val="center"/>
          </w:tcPr>
          <w:p>
            <w:pPr>
              <w:pStyle w:val="2"/>
              <w:keepNext w:val="0"/>
              <w:keepLines w:val="0"/>
              <w:widowControl/>
              <w:suppressLineNumbers w:val="0"/>
              <w:ind w:left="0" w:firstLine="420"/>
              <w:jc w:val="center"/>
            </w:pPr>
            <w:r>
              <w:t xml:space="preserve">10 </w:t>
            </w:r>
          </w:p>
        </w:tc>
        <w:tc>
          <w:tcPr>
            <w:tcW w:w="744" w:type="dxa"/>
            <w:shd w:val="clear"/>
            <w:vAlign w:val="center"/>
          </w:tcPr>
          <w:p>
            <w:pPr>
              <w:rPr>
                <w:rFonts w:hint="eastAsia" w:ascii="宋体"/>
                <w:sz w:val="24"/>
                <w:szCs w:val="24"/>
              </w:rPr>
            </w:pPr>
          </w:p>
        </w:tc>
        <w:tc>
          <w:tcPr>
            <w:tcW w:w="768" w:type="dxa"/>
            <w:shd w:val="clear"/>
            <w:vAlign w:val="center"/>
          </w:tcPr>
          <w:p>
            <w:pPr>
              <w:rPr>
                <w:rFonts w:hint="eastAsia" w:ascii="宋体"/>
                <w:sz w:val="24"/>
                <w:szCs w:val="24"/>
              </w:rPr>
            </w:pPr>
          </w:p>
        </w:tc>
        <w:tc>
          <w:tcPr>
            <w:tcW w:w="648" w:type="dxa"/>
            <w:shd w:val="clear"/>
            <w:vAlign w:val="center"/>
          </w:tcPr>
          <w:p>
            <w:pPr>
              <w:pStyle w:val="2"/>
              <w:keepNext w:val="0"/>
              <w:keepLines w:val="0"/>
              <w:widowControl/>
              <w:suppressLineNumbers w:val="0"/>
              <w:ind w:left="0" w:firstLine="420"/>
              <w:jc w:val="center"/>
            </w:pPr>
            <w:r>
              <w:t xml:space="preserve">10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 xml:space="preserve">生态 </w:t>
            </w:r>
          </w:p>
          <w:p>
            <w:pPr>
              <w:pStyle w:val="2"/>
              <w:keepNext w:val="0"/>
              <w:keepLines w:val="0"/>
              <w:widowControl/>
              <w:suppressLineNumbers w:val="0"/>
              <w:ind w:left="0" w:firstLine="420"/>
              <w:jc w:val="both"/>
            </w:pPr>
            <w:r>
              <w:t xml:space="preserve">环境 </w:t>
            </w:r>
          </w:p>
        </w:tc>
        <w:tc>
          <w:tcPr>
            <w:tcW w:w="3108" w:type="dxa"/>
            <w:gridSpan w:val="2"/>
            <w:shd w:val="clear"/>
            <w:vAlign w:val="center"/>
          </w:tcPr>
          <w:p>
            <w:pPr>
              <w:pStyle w:val="2"/>
              <w:keepNext w:val="0"/>
              <w:keepLines w:val="0"/>
              <w:widowControl/>
              <w:suppressLineNumbers w:val="0"/>
              <w:ind w:left="0" w:firstLine="420"/>
            </w:pPr>
            <w:r>
              <w:t xml:space="preserve">单位生产总值能耗降低（%） </w:t>
            </w:r>
          </w:p>
        </w:tc>
        <w:tc>
          <w:tcPr>
            <w:tcW w:w="840" w:type="dxa"/>
            <w:shd w:val="clear"/>
            <w:vAlign w:val="center"/>
          </w:tcPr>
          <w:p>
            <w:pPr>
              <w:pStyle w:val="2"/>
              <w:keepNext w:val="0"/>
              <w:keepLines w:val="0"/>
              <w:widowControl/>
              <w:suppressLineNumbers w:val="0"/>
              <w:ind w:left="0" w:firstLine="420"/>
              <w:jc w:val="center"/>
            </w:pPr>
            <w:r>
              <w:t xml:space="preserve">3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[14] </w:t>
            </w:r>
          </w:p>
        </w:tc>
        <w:tc>
          <w:tcPr>
            <w:tcW w:w="648" w:type="dxa"/>
            <w:shd w:val="clear"/>
            <w:vAlign w:val="center"/>
          </w:tcPr>
          <w:p>
            <w:pPr>
              <w:rPr>
                <w:rFonts w:hint="eastAsia" w:ascii="宋体"/>
                <w:sz w:val="24"/>
                <w:szCs w:val="24"/>
              </w:rPr>
            </w:pPr>
          </w:p>
        </w:tc>
        <w:tc>
          <w:tcPr>
            <w:tcW w:w="600" w:type="dxa"/>
            <w:gridSpan w:val="2"/>
            <w:vMerge w:val="restart"/>
            <w:shd w:val="clear"/>
            <w:vAlign w:val="center"/>
          </w:tcPr>
          <w:p>
            <w:pPr>
              <w:pStyle w:val="2"/>
              <w:keepNext w:val="0"/>
              <w:keepLines w:val="0"/>
              <w:widowControl/>
              <w:suppressLineNumbers w:val="0"/>
              <w:ind w:left="0" w:firstLine="420"/>
              <w:jc w:val="center"/>
            </w:pPr>
            <w:r>
              <w:t xml:space="preserve">约束性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单位GDP二氧化碳排放降低（%） </w:t>
            </w:r>
          </w:p>
        </w:tc>
        <w:tc>
          <w:tcPr>
            <w:tcW w:w="840" w:type="dxa"/>
            <w:shd w:val="clear"/>
            <w:vAlign w:val="center"/>
          </w:tcPr>
          <w:p>
            <w:pPr>
              <w:pStyle w:val="2"/>
              <w:keepNext w:val="0"/>
              <w:keepLines w:val="0"/>
              <w:widowControl/>
              <w:suppressLineNumbers w:val="0"/>
              <w:ind w:left="0" w:firstLine="420"/>
              <w:jc w:val="center"/>
            </w:pPr>
            <w:r>
              <w:t xml:space="preserve">3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[15]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Ⅲ类水体占地表水比例（%） </w:t>
            </w:r>
          </w:p>
        </w:tc>
        <w:tc>
          <w:tcPr>
            <w:tcW w:w="840" w:type="dxa"/>
            <w:shd w:val="clear"/>
            <w:vAlign w:val="center"/>
          </w:tcPr>
          <w:p>
            <w:pPr>
              <w:rPr>
                <w:rFonts w:hint="eastAsia" w:ascii="宋体"/>
                <w:sz w:val="24"/>
                <w:szCs w:val="24"/>
              </w:rPr>
            </w:pP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&gt;90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森林覆盖率（%） </w:t>
            </w:r>
          </w:p>
        </w:tc>
        <w:tc>
          <w:tcPr>
            <w:tcW w:w="840" w:type="dxa"/>
            <w:shd w:val="clear"/>
            <w:vAlign w:val="center"/>
          </w:tcPr>
          <w:p>
            <w:pPr>
              <w:pStyle w:val="2"/>
              <w:keepNext w:val="0"/>
              <w:keepLines w:val="0"/>
              <w:widowControl/>
              <w:suppressLineNumbers w:val="0"/>
              <w:ind w:left="0" w:firstLine="420"/>
              <w:jc w:val="center"/>
            </w:pPr>
            <w:r>
              <w:t xml:space="preserve">37.3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38.2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民生</w:t>
            </w:r>
            <w:r>
              <w:br w:type="textWrapping"/>
            </w:r>
            <w:r>
              <w:t xml:space="preserve">福祉 </w:t>
            </w:r>
          </w:p>
        </w:tc>
        <w:tc>
          <w:tcPr>
            <w:tcW w:w="3108" w:type="dxa"/>
            <w:gridSpan w:val="2"/>
            <w:shd w:val="clear"/>
            <w:vAlign w:val="center"/>
          </w:tcPr>
          <w:p>
            <w:pPr>
              <w:pStyle w:val="2"/>
              <w:keepNext w:val="0"/>
              <w:keepLines w:val="0"/>
              <w:widowControl/>
              <w:suppressLineNumbers w:val="0"/>
              <w:ind w:left="0" w:firstLine="420"/>
            </w:pPr>
            <w:r>
              <w:t xml:space="preserve">城镇调查失业率（%） </w:t>
            </w:r>
          </w:p>
        </w:tc>
        <w:tc>
          <w:tcPr>
            <w:tcW w:w="840" w:type="dxa"/>
            <w:shd w:val="clear"/>
            <w:vAlign w:val="center"/>
          </w:tcPr>
          <w:p>
            <w:pPr>
              <w:rPr>
                <w:rFonts w:hint="eastAsia" w:ascii="宋体"/>
                <w:sz w:val="24"/>
                <w:szCs w:val="24"/>
              </w:rPr>
            </w:pP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&lt;4.3 </w:t>
            </w:r>
          </w:p>
        </w:tc>
        <w:tc>
          <w:tcPr>
            <w:tcW w:w="648" w:type="dxa"/>
            <w:shd w:val="clear"/>
            <w:vAlign w:val="center"/>
          </w:tcPr>
          <w:p>
            <w:pPr>
              <w:rPr>
                <w:rFonts w:hint="eastAsia" w:ascii="宋体"/>
                <w:sz w:val="24"/>
                <w:szCs w:val="24"/>
              </w:rPr>
            </w:pPr>
          </w:p>
        </w:tc>
        <w:tc>
          <w:tcPr>
            <w:tcW w:w="600" w:type="dxa"/>
            <w:gridSpan w:val="2"/>
            <w:vMerge w:val="restart"/>
            <w:shd w:val="clear"/>
            <w:vAlign w:val="center"/>
          </w:tcPr>
          <w:p>
            <w:pPr>
              <w:pStyle w:val="2"/>
              <w:keepNext w:val="0"/>
              <w:keepLines w:val="0"/>
              <w:widowControl/>
              <w:suppressLineNumbers w:val="0"/>
              <w:ind w:left="0" w:firstLine="420"/>
              <w:jc w:val="center"/>
            </w:pPr>
            <w:r>
              <w:t xml:space="preserve">预期性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1776" w:type="dxa"/>
            <w:vMerge w:val="restart"/>
            <w:shd w:val="clear"/>
            <w:vAlign w:val="center"/>
          </w:tcPr>
          <w:p>
            <w:pPr>
              <w:pStyle w:val="2"/>
              <w:keepNext w:val="0"/>
              <w:keepLines w:val="0"/>
              <w:widowControl/>
              <w:suppressLineNumbers w:val="0"/>
              <w:ind w:left="0" w:firstLine="420"/>
            </w:pPr>
            <w:r>
              <w:t xml:space="preserve">居民人均可支配收入 </w:t>
            </w:r>
          </w:p>
        </w:tc>
        <w:tc>
          <w:tcPr>
            <w:tcW w:w="1332" w:type="dxa"/>
            <w:shd w:val="clear"/>
            <w:vAlign w:val="center"/>
          </w:tcPr>
          <w:p>
            <w:pPr>
              <w:pStyle w:val="2"/>
              <w:keepNext w:val="0"/>
              <w:keepLines w:val="0"/>
              <w:widowControl/>
              <w:suppressLineNumbers w:val="0"/>
              <w:ind w:left="0" w:firstLine="420"/>
            </w:pPr>
            <w:r>
              <w:t xml:space="preserve">城镇居民（元） </w:t>
            </w:r>
          </w:p>
        </w:tc>
        <w:tc>
          <w:tcPr>
            <w:tcW w:w="840" w:type="dxa"/>
            <w:shd w:val="clear"/>
            <w:vAlign w:val="center"/>
          </w:tcPr>
          <w:p>
            <w:pPr>
              <w:pStyle w:val="2"/>
              <w:keepNext w:val="0"/>
              <w:keepLines w:val="0"/>
              <w:widowControl/>
              <w:suppressLineNumbers w:val="0"/>
              <w:ind w:left="0" w:firstLine="420"/>
              <w:jc w:val="center"/>
            </w:pPr>
            <w:r>
              <w:t xml:space="preserve">35539 </w:t>
            </w:r>
          </w:p>
        </w:tc>
        <w:tc>
          <w:tcPr>
            <w:tcW w:w="744" w:type="dxa"/>
            <w:shd w:val="clear"/>
            <w:vAlign w:val="center"/>
          </w:tcPr>
          <w:p>
            <w:pPr>
              <w:pStyle w:val="2"/>
              <w:keepNext w:val="0"/>
              <w:keepLines w:val="0"/>
              <w:widowControl/>
              <w:suppressLineNumbers w:val="0"/>
              <w:ind w:left="0" w:firstLine="420"/>
              <w:jc w:val="center"/>
            </w:pPr>
            <w:r>
              <w:t xml:space="preserve">8 </w:t>
            </w:r>
          </w:p>
        </w:tc>
        <w:tc>
          <w:tcPr>
            <w:tcW w:w="768" w:type="dxa"/>
            <w:shd w:val="clear"/>
            <w:vAlign w:val="center"/>
          </w:tcPr>
          <w:p>
            <w:pPr>
              <w:pStyle w:val="2"/>
              <w:keepNext w:val="0"/>
              <w:keepLines w:val="0"/>
              <w:widowControl/>
              <w:suppressLineNumbers w:val="0"/>
              <w:ind w:left="0" w:firstLine="420"/>
              <w:jc w:val="center"/>
            </w:pPr>
            <w:r>
              <w:t xml:space="preserve">&gt;49845 </w:t>
            </w:r>
          </w:p>
        </w:tc>
        <w:tc>
          <w:tcPr>
            <w:tcW w:w="648" w:type="dxa"/>
            <w:shd w:val="clear"/>
            <w:vAlign w:val="center"/>
          </w:tcPr>
          <w:p>
            <w:pPr>
              <w:pStyle w:val="2"/>
              <w:keepNext w:val="0"/>
              <w:keepLines w:val="0"/>
              <w:widowControl/>
              <w:suppressLineNumbers w:val="0"/>
              <w:ind w:left="0" w:firstLine="420"/>
              <w:jc w:val="center"/>
            </w:pPr>
            <w:r>
              <w:t xml:space="preserve">&gt;7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1776" w:type="dxa"/>
            <w:vMerge w:val="continue"/>
            <w:shd w:val="clear"/>
            <w:vAlign w:val="center"/>
          </w:tcPr>
          <w:p>
            <w:pPr>
              <w:rPr>
                <w:rFonts w:hint="eastAsia" w:ascii="宋体"/>
                <w:sz w:val="24"/>
                <w:szCs w:val="24"/>
              </w:rPr>
            </w:pPr>
          </w:p>
        </w:tc>
        <w:tc>
          <w:tcPr>
            <w:tcW w:w="1332" w:type="dxa"/>
            <w:shd w:val="clear"/>
            <w:vAlign w:val="center"/>
          </w:tcPr>
          <w:p>
            <w:pPr>
              <w:pStyle w:val="2"/>
              <w:keepNext w:val="0"/>
              <w:keepLines w:val="0"/>
              <w:widowControl/>
              <w:suppressLineNumbers w:val="0"/>
              <w:ind w:left="0" w:firstLine="420"/>
            </w:pPr>
            <w:r>
              <w:t xml:space="preserve">农村居民（元） </w:t>
            </w:r>
          </w:p>
        </w:tc>
        <w:tc>
          <w:tcPr>
            <w:tcW w:w="840" w:type="dxa"/>
            <w:shd w:val="clear"/>
            <w:vAlign w:val="center"/>
          </w:tcPr>
          <w:p>
            <w:pPr>
              <w:pStyle w:val="2"/>
              <w:keepNext w:val="0"/>
              <w:keepLines w:val="0"/>
              <w:widowControl/>
              <w:suppressLineNumbers w:val="0"/>
              <w:ind w:left="0" w:firstLine="420"/>
              <w:jc w:val="center"/>
            </w:pPr>
            <w:r>
              <w:t xml:space="preserve">11562 </w:t>
            </w:r>
          </w:p>
        </w:tc>
        <w:tc>
          <w:tcPr>
            <w:tcW w:w="744" w:type="dxa"/>
            <w:shd w:val="clear"/>
            <w:vAlign w:val="center"/>
          </w:tcPr>
          <w:p>
            <w:pPr>
              <w:pStyle w:val="2"/>
              <w:keepNext w:val="0"/>
              <w:keepLines w:val="0"/>
              <w:widowControl/>
              <w:suppressLineNumbers w:val="0"/>
              <w:ind w:left="0" w:firstLine="420"/>
              <w:jc w:val="center"/>
            </w:pPr>
            <w:r>
              <w:t xml:space="preserve">8.9 </w:t>
            </w:r>
          </w:p>
        </w:tc>
        <w:tc>
          <w:tcPr>
            <w:tcW w:w="768" w:type="dxa"/>
            <w:shd w:val="clear"/>
            <w:vAlign w:val="center"/>
          </w:tcPr>
          <w:p>
            <w:pPr>
              <w:pStyle w:val="2"/>
              <w:keepNext w:val="0"/>
              <w:keepLines w:val="0"/>
              <w:widowControl/>
              <w:suppressLineNumbers w:val="0"/>
              <w:ind w:left="0" w:firstLine="420"/>
              <w:jc w:val="center"/>
            </w:pPr>
            <w:r>
              <w:t xml:space="preserve">&gt;16559 </w:t>
            </w:r>
          </w:p>
        </w:tc>
        <w:tc>
          <w:tcPr>
            <w:tcW w:w="648" w:type="dxa"/>
            <w:shd w:val="clear"/>
            <w:vAlign w:val="center"/>
          </w:tcPr>
          <w:p>
            <w:pPr>
              <w:pStyle w:val="2"/>
              <w:keepNext w:val="0"/>
              <w:keepLines w:val="0"/>
              <w:widowControl/>
              <w:suppressLineNumbers w:val="0"/>
              <w:ind w:left="0" w:firstLine="420"/>
              <w:jc w:val="center"/>
            </w:pPr>
            <w:r>
              <w:t xml:space="preserve">&gt;7.5 </w:t>
            </w: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学前教育毛入学率（%） </w:t>
            </w:r>
          </w:p>
        </w:tc>
        <w:tc>
          <w:tcPr>
            <w:tcW w:w="840" w:type="dxa"/>
            <w:shd w:val="clear"/>
            <w:vAlign w:val="center"/>
          </w:tcPr>
          <w:p>
            <w:pPr>
              <w:pStyle w:val="2"/>
              <w:keepNext w:val="0"/>
              <w:keepLines w:val="0"/>
              <w:widowControl/>
              <w:suppressLineNumbers w:val="0"/>
              <w:ind w:left="0" w:firstLine="420"/>
              <w:jc w:val="center"/>
            </w:pPr>
            <w:r>
              <w:t xml:space="preserve">99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&gt;99.5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基本养老保险参保率（%） </w:t>
            </w:r>
          </w:p>
        </w:tc>
        <w:tc>
          <w:tcPr>
            <w:tcW w:w="840" w:type="dxa"/>
            <w:shd w:val="clear"/>
            <w:vAlign w:val="center"/>
          </w:tcPr>
          <w:p>
            <w:pPr>
              <w:pStyle w:val="2"/>
              <w:keepNext w:val="0"/>
              <w:keepLines w:val="0"/>
              <w:widowControl/>
              <w:suppressLineNumbers w:val="0"/>
              <w:ind w:left="0" w:firstLine="420"/>
              <w:jc w:val="center"/>
            </w:pPr>
            <w:r>
              <w:t xml:space="preserve">98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&gt;99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人均预期寿命（岁） </w:t>
            </w:r>
          </w:p>
        </w:tc>
        <w:tc>
          <w:tcPr>
            <w:tcW w:w="840" w:type="dxa"/>
            <w:shd w:val="clear"/>
            <w:vAlign w:val="center"/>
          </w:tcPr>
          <w:p>
            <w:pPr>
              <w:pStyle w:val="2"/>
              <w:keepNext w:val="0"/>
              <w:keepLines w:val="0"/>
              <w:widowControl/>
              <w:suppressLineNumbers w:val="0"/>
              <w:ind w:left="0" w:firstLine="420"/>
              <w:jc w:val="center"/>
            </w:pPr>
            <w:r>
              <w:t xml:space="preserve">77.6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78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每千人拥有医疗床位数（张） </w:t>
            </w:r>
          </w:p>
        </w:tc>
        <w:tc>
          <w:tcPr>
            <w:tcW w:w="840" w:type="dxa"/>
            <w:shd w:val="clear"/>
            <w:vAlign w:val="center"/>
          </w:tcPr>
          <w:p>
            <w:pPr>
              <w:pStyle w:val="2"/>
              <w:keepNext w:val="0"/>
              <w:keepLines w:val="0"/>
              <w:widowControl/>
              <w:suppressLineNumbers w:val="0"/>
              <w:ind w:left="0" w:firstLine="420"/>
              <w:jc w:val="center"/>
            </w:pPr>
            <w:r>
              <w:t xml:space="preserve">5.8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&gt;8 </w:t>
            </w:r>
          </w:p>
        </w:tc>
        <w:tc>
          <w:tcPr>
            <w:tcW w:w="648" w:type="dxa"/>
            <w:shd w:val="clear"/>
            <w:vAlign w:val="center"/>
          </w:tcPr>
          <w:p>
            <w:pPr>
              <w:rPr>
                <w:rFonts w:hint="eastAsia" w:ascii="宋体"/>
                <w:sz w:val="24"/>
                <w:szCs w:val="24"/>
              </w:rPr>
            </w:pPr>
          </w:p>
        </w:tc>
        <w:tc>
          <w:tcPr>
            <w:tcW w:w="600" w:type="dxa"/>
            <w:gridSpan w:val="2"/>
            <w:vMerge w:val="continue"/>
            <w:shd w:val="cle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restart"/>
            <w:shd w:val="clear"/>
            <w:vAlign w:val="center"/>
          </w:tcPr>
          <w:p>
            <w:pPr>
              <w:pStyle w:val="2"/>
              <w:keepNext w:val="0"/>
              <w:keepLines w:val="0"/>
              <w:widowControl/>
              <w:suppressLineNumbers w:val="0"/>
              <w:ind w:left="0" w:firstLine="420"/>
              <w:jc w:val="both"/>
            </w:pPr>
            <w:r>
              <w:t>安全</w:t>
            </w:r>
            <w:r>
              <w:br w:type="textWrapping"/>
            </w:r>
            <w:r>
              <w:t xml:space="preserve">稳定 </w:t>
            </w:r>
          </w:p>
        </w:tc>
        <w:tc>
          <w:tcPr>
            <w:tcW w:w="3108" w:type="dxa"/>
            <w:gridSpan w:val="2"/>
            <w:shd w:val="clear"/>
            <w:vAlign w:val="center"/>
          </w:tcPr>
          <w:p>
            <w:pPr>
              <w:pStyle w:val="2"/>
              <w:keepNext w:val="0"/>
              <w:keepLines w:val="0"/>
              <w:widowControl/>
              <w:suppressLineNumbers w:val="0"/>
              <w:ind w:left="0" w:firstLine="420"/>
            </w:pPr>
            <w:r>
              <w:t xml:space="preserve">粮食综合生产能力（万吨） </w:t>
            </w:r>
          </w:p>
        </w:tc>
        <w:tc>
          <w:tcPr>
            <w:tcW w:w="840" w:type="dxa"/>
            <w:shd w:val="clear"/>
            <w:vAlign w:val="center"/>
          </w:tcPr>
          <w:p>
            <w:pPr>
              <w:pStyle w:val="2"/>
              <w:keepNext w:val="0"/>
              <w:keepLines w:val="0"/>
              <w:widowControl/>
              <w:suppressLineNumbers w:val="0"/>
              <w:ind w:left="0" w:firstLine="420"/>
              <w:jc w:val="center"/>
            </w:pPr>
            <w:r>
              <w:t xml:space="preserve">5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&gt;5.2 </w:t>
            </w:r>
          </w:p>
        </w:tc>
        <w:tc>
          <w:tcPr>
            <w:tcW w:w="648" w:type="dxa"/>
            <w:shd w:val="clear"/>
            <w:vAlign w:val="center"/>
          </w:tcPr>
          <w:p>
            <w:pPr>
              <w:rPr>
                <w:rFonts w:hint="eastAsia" w:ascii="宋体"/>
                <w:sz w:val="24"/>
                <w:szCs w:val="24"/>
              </w:rPr>
            </w:pPr>
          </w:p>
        </w:tc>
        <w:tc>
          <w:tcPr>
            <w:tcW w:w="600" w:type="dxa"/>
            <w:gridSpan w:val="2"/>
            <w:shd w:val="clear"/>
            <w:vAlign w:val="center"/>
          </w:tcPr>
          <w:p>
            <w:pPr>
              <w:pStyle w:val="2"/>
              <w:keepNext w:val="0"/>
              <w:keepLines w:val="0"/>
              <w:widowControl/>
              <w:suppressLineNumbers w:val="0"/>
              <w:ind w:left="0" w:firstLine="420"/>
              <w:jc w:val="center"/>
            </w:pPr>
            <w:r>
              <w:t xml:space="preserve">约束性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72" w:type="dxa"/>
            <w:vMerge w:val="continue"/>
            <w:shd w:val="clear"/>
            <w:vAlign w:val="center"/>
          </w:tcPr>
          <w:p>
            <w:pPr>
              <w:rPr>
                <w:rFonts w:hint="eastAsia" w:ascii="宋体"/>
                <w:sz w:val="24"/>
                <w:szCs w:val="24"/>
              </w:rPr>
            </w:pPr>
          </w:p>
        </w:tc>
        <w:tc>
          <w:tcPr>
            <w:tcW w:w="3108" w:type="dxa"/>
            <w:gridSpan w:val="2"/>
            <w:shd w:val="clear"/>
            <w:vAlign w:val="center"/>
          </w:tcPr>
          <w:p>
            <w:pPr>
              <w:pStyle w:val="2"/>
              <w:keepNext w:val="0"/>
              <w:keepLines w:val="0"/>
              <w:widowControl/>
              <w:suppressLineNumbers w:val="0"/>
              <w:ind w:left="0" w:firstLine="420"/>
            </w:pPr>
            <w:r>
              <w:t xml:space="preserve">一次能源生产量（万吨标准煤） </w:t>
            </w:r>
          </w:p>
        </w:tc>
        <w:tc>
          <w:tcPr>
            <w:tcW w:w="840" w:type="dxa"/>
            <w:shd w:val="clear"/>
            <w:vAlign w:val="center"/>
          </w:tcPr>
          <w:p>
            <w:pPr>
              <w:pStyle w:val="2"/>
              <w:keepNext w:val="0"/>
              <w:keepLines w:val="0"/>
              <w:widowControl/>
              <w:suppressLineNumbers w:val="0"/>
              <w:ind w:left="0" w:firstLine="420"/>
              <w:jc w:val="center"/>
            </w:pPr>
            <w:r>
              <w:t xml:space="preserve">1679 </w:t>
            </w:r>
          </w:p>
        </w:tc>
        <w:tc>
          <w:tcPr>
            <w:tcW w:w="744" w:type="dxa"/>
            <w:shd w:val="clear"/>
            <w:vAlign w:val="center"/>
          </w:tcPr>
          <w:p>
            <w:pPr>
              <w:rPr>
                <w:rFonts w:hint="eastAsia" w:ascii="宋体"/>
                <w:sz w:val="24"/>
                <w:szCs w:val="24"/>
              </w:rPr>
            </w:pPr>
          </w:p>
        </w:tc>
        <w:tc>
          <w:tcPr>
            <w:tcW w:w="768" w:type="dxa"/>
            <w:shd w:val="clear"/>
            <w:vAlign w:val="center"/>
          </w:tcPr>
          <w:p>
            <w:pPr>
              <w:pStyle w:val="2"/>
              <w:keepNext w:val="0"/>
              <w:keepLines w:val="0"/>
              <w:widowControl/>
              <w:suppressLineNumbers w:val="0"/>
              <w:ind w:left="0" w:firstLine="420"/>
              <w:jc w:val="center"/>
            </w:pPr>
            <w:r>
              <w:t xml:space="preserve">2000 </w:t>
            </w:r>
          </w:p>
        </w:tc>
        <w:tc>
          <w:tcPr>
            <w:tcW w:w="648" w:type="dxa"/>
            <w:shd w:val="clear"/>
            <w:vAlign w:val="center"/>
          </w:tcPr>
          <w:p>
            <w:pPr>
              <w:rPr>
                <w:rFonts w:hint="eastAsia" w:ascii="宋体"/>
                <w:sz w:val="24"/>
                <w:szCs w:val="24"/>
              </w:rPr>
            </w:pPr>
          </w:p>
        </w:tc>
        <w:tc>
          <w:tcPr>
            <w:tcW w:w="600" w:type="dxa"/>
            <w:gridSpan w:val="2"/>
            <w:shd w:val="clear"/>
            <w:vAlign w:val="center"/>
          </w:tcPr>
          <w:p>
            <w:pPr>
              <w:pStyle w:val="2"/>
              <w:keepNext w:val="0"/>
              <w:keepLines w:val="0"/>
              <w:widowControl/>
              <w:suppressLineNumbers w:val="0"/>
              <w:ind w:left="0" w:firstLine="420"/>
              <w:jc w:val="center"/>
            </w:pPr>
            <w:r>
              <w:t xml:space="preserve">预期性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6816" w:type="dxa"/>
            <w:gridSpan w:val="8"/>
            <w:shd w:val="clear"/>
            <w:vAlign w:val="center"/>
          </w:tcPr>
          <w:p>
            <w:pPr>
              <w:pStyle w:val="2"/>
              <w:keepNext w:val="0"/>
              <w:keepLines w:val="0"/>
              <w:widowControl/>
              <w:suppressLineNumbers w:val="0"/>
              <w:ind w:left="0" w:firstLine="420"/>
            </w:pPr>
            <w:r>
              <w:t xml:space="preserve">注：[ ]为五年累计数。 </w:t>
            </w:r>
          </w:p>
        </w:tc>
        <w:tc>
          <w:tcPr>
            <w:tcW w:w="0" w:type="auto"/>
            <w:shd w:val="clear"/>
            <w:vAlign w:val="center"/>
          </w:tcPr>
          <w:p>
            <w:pPr>
              <w:rPr>
                <w:rFonts w:hint="eastAsia" w:ascii="宋体"/>
                <w:sz w:val="24"/>
                <w:szCs w:val="24"/>
              </w:rPr>
            </w:pPr>
          </w:p>
        </w:tc>
      </w:tr>
    </w:tbl>
    <w:p>
      <w:pPr>
        <w:pStyle w:val="2"/>
        <w:keepNext w:val="0"/>
        <w:keepLines w:val="0"/>
        <w:widowControl/>
        <w:suppressLineNumbers w:val="0"/>
        <w:ind w:left="0" w:firstLine="420"/>
        <w:jc w:val="center"/>
      </w:pPr>
      <w:r>
        <w:t xml:space="preserve">图5  长武县行政区位图 </w:t>
      </w:r>
    </w:p>
    <w:p>
      <w:pPr>
        <w:pStyle w:val="2"/>
        <w:keepNext w:val="0"/>
        <w:keepLines w:val="0"/>
        <w:widowControl/>
        <w:suppressLineNumbers w:val="0"/>
        <w:ind w:left="0" w:firstLine="420"/>
        <w:jc w:val="center"/>
      </w:pPr>
      <w:r>
        <w:drawing>
          <wp:inline distT="0" distB="0" distL="114300" distR="114300">
            <wp:extent cx="9525000" cy="13468350"/>
            <wp:effectExtent l="0" t="0" r="0" b="381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9525000" cy="1346835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t xml:space="preserve">第三章  加快构建现代产业体系 </w:t>
      </w:r>
    </w:p>
    <w:p>
      <w:pPr>
        <w:pStyle w:val="2"/>
        <w:keepNext w:val="0"/>
        <w:keepLines w:val="0"/>
        <w:widowControl/>
        <w:suppressLineNumbers w:val="0"/>
        <w:ind w:left="0" w:firstLine="420"/>
        <w:jc w:val="both"/>
      </w:pPr>
      <w:r>
        <w:t xml:space="preserve">坚持把高质量发展作为根本要求，以“扩规模、调结构，促转型、提效益”为主线，工业强主导、延链条，农业强基础、保供给，现代服务业拓空间、上水平，做大产业总量，优化产业结构，壮大新兴产业，全面提升产业核心竞争力。 </w:t>
      </w:r>
    </w:p>
    <w:p>
      <w:pPr>
        <w:pStyle w:val="2"/>
        <w:keepNext w:val="0"/>
        <w:keepLines w:val="0"/>
        <w:widowControl/>
        <w:suppressLineNumbers w:val="0"/>
        <w:ind w:left="0" w:firstLine="420"/>
        <w:jc w:val="both"/>
      </w:pPr>
      <w:r>
        <w:t xml:space="preserve">一、实施工业主导战略 </w:t>
      </w:r>
    </w:p>
    <w:p>
      <w:pPr>
        <w:pStyle w:val="2"/>
        <w:keepNext w:val="0"/>
        <w:keepLines w:val="0"/>
        <w:widowControl/>
        <w:suppressLineNumbers w:val="0"/>
        <w:ind w:left="0" w:firstLine="420"/>
        <w:jc w:val="both"/>
      </w:pPr>
      <w:r>
        <w:t xml:space="preserve">按照“两区两带”工业空间布局，持续壮大能化产业，优化提升传统产业，培育发展新型产业，补链延链，扩链强链，加快建设彬长旬高端能化基地核心板块。到2025年，工业总产值达到165亿元，其中，规模工业总产值达到158亿元；规模企业户数达到30户以上；规模工业实现增加值65.8亿元；非公经济占GDP比重达到53.8%。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专栏3-1  “两区两带”工业空间布局 </w:t>
            </w:r>
          </w:p>
          <w:p>
            <w:pPr>
              <w:pStyle w:val="2"/>
              <w:keepNext w:val="0"/>
              <w:keepLines w:val="0"/>
              <w:widowControl/>
              <w:suppressLineNumbers w:val="0"/>
              <w:ind w:left="0" w:firstLine="420"/>
              <w:jc w:val="both"/>
            </w:pPr>
            <w:r>
              <w:t xml:space="preserve">东部能化工业集中区：以亭口镇、相公镇和彭公镇为主要承载地，重点发展以煤炭生产、煤化工、煤电为主的能化工业。 </w:t>
            </w:r>
          </w:p>
          <w:p>
            <w:pPr>
              <w:pStyle w:val="2"/>
              <w:keepNext w:val="0"/>
              <w:keepLines w:val="0"/>
              <w:widowControl/>
              <w:suppressLineNumbers w:val="0"/>
              <w:ind w:left="0" w:firstLine="420"/>
              <w:jc w:val="both"/>
            </w:pPr>
            <w:r>
              <w:t xml:space="preserve">中部综合产业集中区：以昭仁街道、洪家镇、丁家镇为主要承载地，依托县城经济综合功能，重点发展商贸物流、装备制造、服饰加工、电子信息等产业。 </w:t>
            </w:r>
          </w:p>
          <w:p>
            <w:pPr>
              <w:pStyle w:val="2"/>
              <w:keepNext w:val="0"/>
              <w:keepLines w:val="0"/>
              <w:widowControl/>
              <w:suppressLineNumbers w:val="0"/>
              <w:ind w:left="0" w:firstLine="420"/>
              <w:jc w:val="both"/>
            </w:pPr>
            <w:r>
              <w:t xml:space="preserve">312国道沿线产业发展带：以312国道为发展轴，以五里铺工业园区、装备制造园为载体，发展煤化、装备制造、绿色食品、医药，形成产业综合发展集聚带。 </w:t>
            </w:r>
          </w:p>
          <w:p>
            <w:pPr>
              <w:pStyle w:val="2"/>
              <w:keepNext w:val="0"/>
              <w:keepLines w:val="0"/>
              <w:widowControl/>
              <w:suppressLineNumbers w:val="0"/>
              <w:ind w:left="0" w:firstLine="420"/>
              <w:jc w:val="both"/>
            </w:pPr>
            <w:r>
              <w:t xml:space="preserve">泾河沿岸产业发展带：以泾河为发展轴，以煤电工业园区、相公塬工业园区、路家工业园区、高家堡矿区为载体，形成煤炭产业发展集聚带。 </w:t>
            </w:r>
          </w:p>
        </w:tc>
      </w:tr>
    </w:tbl>
    <w:p>
      <w:pPr>
        <w:pStyle w:val="2"/>
        <w:keepNext w:val="0"/>
        <w:keepLines w:val="0"/>
        <w:widowControl/>
        <w:suppressLineNumbers w:val="0"/>
        <w:ind w:left="0" w:firstLine="420"/>
        <w:jc w:val="center"/>
      </w:pPr>
      <w:r>
        <w:t xml:space="preserve">图6  工业空间布局图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9525000" cy="13468350"/>
            <wp:effectExtent l="0" t="0" r="0" b="381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9525000" cy="13468350"/>
                    </a:xfrm>
                    <a:prstGeom prst="rect">
                      <a:avLst/>
                    </a:prstGeom>
                    <a:noFill/>
                    <a:ln w="9525">
                      <a:noFill/>
                    </a:ln>
                  </pic:spPr>
                </pic:pic>
              </a:graphicData>
            </a:graphic>
          </wp:inline>
        </w:drawing>
      </w:r>
    </w:p>
    <w:p>
      <w:pPr>
        <w:pStyle w:val="2"/>
        <w:keepNext w:val="0"/>
        <w:keepLines w:val="0"/>
        <w:widowControl/>
        <w:suppressLineNumbers w:val="0"/>
        <w:ind w:left="0" w:firstLine="420"/>
        <w:jc w:val="both"/>
      </w:pPr>
      <w:r>
        <w:t xml:space="preserve">——推进能化产业转型升级。围绕煤炭资源供给侧改革，做优煤炭产业、壮大电力产业、突出煤化产业，促进资源深度转化。以建设高产高效现代化煤矿为目标，深入推进亭南、高家堡、胡家河、孟村四座煤矿灾害防治和矿井智能化改造，实现机械化减人、智能化替人，打造智能高效安全的现代化煤矿。全面启动杨家坪煤矿建设，持续推进“三个转化”，加快大唐彬长发电厂二期、煤电一体化基地等项目建设，积极推动电力外送，稳步发展煤制甲醇、己二腈、草酰胺等清洁能源产业，扩大煤炭洗选、深加工生产规模，打造新型材料经济链，延伸发展下游深加工和终端应用产品，提高煤矸石、粉煤灰、脱硫石膏等资源的综合利用水平，构建煤炭、煤电、煤化、煤建材齐头并进的能源产业发展体系。开发石油、煤层气等资源，有效利用矿井水、煤瓦斯等伴生资源，延伸煤炭循环利用产业链条。到2025年，能化工业产值达到140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专栏3-2  资源开发利用重点项目 </w:t>
            </w:r>
          </w:p>
          <w:p>
            <w:pPr>
              <w:pStyle w:val="2"/>
              <w:keepNext w:val="0"/>
              <w:keepLines w:val="0"/>
              <w:widowControl/>
              <w:suppressLineNumbers w:val="0"/>
              <w:ind w:left="0" w:firstLine="420"/>
            </w:pPr>
            <w:r>
              <w:t xml:space="preserve">资源开发：杨家坪煤矿、煤层气开发、石油勘探及开采、高家堡煤矿智能化改造、胡家河煤矿二号风井、亭南煤业智能化改造、高家堡煤矿井灾害综合治理 </w:t>
            </w:r>
          </w:p>
          <w:p>
            <w:pPr>
              <w:pStyle w:val="2"/>
              <w:keepNext w:val="0"/>
              <w:keepLines w:val="0"/>
              <w:widowControl/>
              <w:suppressLineNumbers w:val="0"/>
              <w:ind w:left="0" w:firstLine="420"/>
            </w:pPr>
            <w:r>
              <w:t xml:space="preserve">煤电：江苏能源长武煤电一体化、大唐彬长电厂二期、三期、煤矸石电厂 </w:t>
            </w:r>
          </w:p>
          <w:p>
            <w:pPr>
              <w:pStyle w:val="2"/>
              <w:keepNext w:val="0"/>
              <w:keepLines w:val="0"/>
              <w:widowControl/>
              <w:suppressLineNumbers w:val="0"/>
              <w:ind w:left="0" w:firstLine="420"/>
            </w:pPr>
            <w:r>
              <w:t xml:space="preserve">煤化：60万吨煤制烯烃、100万吨煤基二甲醚二期、30万吨煤制乙醇、90万吨煤制甲醇、100万吨草酰胺、10万吨己二腈、40万吨煤制柴油添加剂、30万吨煤制石蜡、20万吨聚丙烯 </w:t>
            </w:r>
          </w:p>
          <w:p>
            <w:pPr>
              <w:pStyle w:val="2"/>
              <w:keepNext w:val="0"/>
              <w:keepLines w:val="0"/>
              <w:widowControl/>
              <w:suppressLineNumbers w:val="0"/>
              <w:ind w:left="0" w:firstLine="420"/>
            </w:pPr>
            <w:r>
              <w:t xml:space="preserve">综合利用：食品级二氧化碳二期、煤矿疏干水综合利用、甲醇尾气综合利用 </w:t>
            </w:r>
          </w:p>
        </w:tc>
      </w:tr>
    </w:tbl>
    <w:p>
      <w:pPr>
        <w:pStyle w:val="2"/>
        <w:keepNext w:val="0"/>
        <w:keepLines w:val="0"/>
        <w:widowControl/>
        <w:suppressLineNumbers w:val="0"/>
        <w:ind w:left="0" w:firstLine="420"/>
        <w:jc w:val="both"/>
      </w:pPr>
      <w:r>
        <w:t xml:space="preserve">——发展煤机装备制造产业。依托陇东、彬长及周边矿区发展，加快建设煤炭装备制造产业园，积极发展煤矿、煤化工装备、新型材料制造以及煤电装备零部件配套加工产业，实现部分装备就地化生产，打造集研发、设计、制造、销售、服务为一体的产业链条，推动煤机装备产品覆盖陇东、彬长、蒲白、麟北等周边矿区。加快发展采矿采石设备、炼油化工设备、工程机械配件、矿山配件、管材制造，巩固壮大装备制造产业根基。积极发展汽车零部件加工制造产业，引进一批小型农业机械生产项目，拓宽装备制造领域。推动制造业与服务业融合发展，推广个性化定制、协同制造、服务型制造等新模式。到2025年，基本形成煤机装备制造产业集群，实现产值5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专栏3-3  装备制造重点项目 </w:t>
            </w:r>
          </w:p>
          <w:p>
            <w:pPr>
              <w:pStyle w:val="2"/>
              <w:keepNext w:val="0"/>
              <w:keepLines w:val="0"/>
              <w:widowControl/>
              <w:suppressLineNumbers w:val="0"/>
              <w:ind w:left="0" w:firstLine="420"/>
            </w:pPr>
            <w:r>
              <w:t xml:space="preserve">淄矿长武装备制造产业园、矿山装备制造维修、管材基地 </w:t>
            </w:r>
          </w:p>
        </w:tc>
      </w:tr>
    </w:tbl>
    <w:p>
      <w:pPr>
        <w:pStyle w:val="2"/>
        <w:keepNext w:val="0"/>
        <w:keepLines w:val="0"/>
        <w:widowControl/>
        <w:suppressLineNumbers w:val="0"/>
        <w:ind w:left="0" w:firstLine="420"/>
        <w:jc w:val="both"/>
      </w:pPr>
      <w:r>
        <w:t xml:space="preserve">——促进传统产业优化升级。以市场为导向、以科技为支撑，鼓励引导传统企业嫁接联盟、技改扩能，促进传统企业高效运营、传统产业高端发展，做大非煤产业，实现多元发展。围绕白酒产业，加强新产品、新技术研发应用，增强自主创新，扩大产品销量，提升市场占有率和生产效益，到2025年，白酒产值达到5000万元以上。围绕食品产业，大力发展蔬菜、粮油、肉类、干果、豆类等农副产品深加工产业，招引果酒、果醋及核桃精炼油、保健油等生产企业，完善果品生产、加工、包装、贮藏、营销体系，到2025年，实现产值5亿元。围绕建材产业，新建蒸压加气混凝土砌块及板材生产线项目，延伸灰渣、矸石、建材产品链，形成以绿色环保建材为特色的新型建材工业体系，到2025年，实现产值2亿元。围绕医药产业，加快中药材种植及加工基地建设，积极引进医药企业落户，到2025年，实现产值2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专栏3-4  传统产业重点项目 </w:t>
            </w:r>
          </w:p>
          <w:p>
            <w:pPr>
              <w:pStyle w:val="2"/>
              <w:keepNext w:val="0"/>
              <w:keepLines w:val="0"/>
              <w:widowControl/>
              <w:suppressLineNumbers w:val="0"/>
              <w:ind w:left="0" w:firstLine="420"/>
            </w:pPr>
            <w:r>
              <w:t xml:space="preserve">有机豆制品产业园、中药材种植及深加工、核桃深加工、优质花椒深加工、柿子深加工、果品包装、果蔬脆片加工及鲜果储藏营销、果醋系列生产线、 加气块及板材生产线、新型建材及装配式墙体加工、气化渣新型墙材、智能化低碳建筑材料、医药中间体、药品生产线 </w:t>
            </w:r>
          </w:p>
        </w:tc>
      </w:tr>
    </w:tbl>
    <w:p>
      <w:pPr>
        <w:pStyle w:val="2"/>
        <w:keepNext w:val="0"/>
        <w:keepLines w:val="0"/>
        <w:widowControl/>
        <w:suppressLineNumbers w:val="0"/>
        <w:ind w:left="0" w:firstLine="420"/>
        <w:jc w:val="both"/>
      </w:pPr>
      <w:r>
        <w:t xml:space="preserve">——培育发展战略新兴产业。坚持科技创新引领、重大项目支撑，大力发展节能环保产业，支持清洁能源、新材料、节能环保、信息服务等战略性新兴产业发展。引导发展太阳能光伏、风电、生物质发电、瓦斯发电产业，推广应用脱硫脱硝等高效环保新型能源技术，发展低碳经济，实现绿色循环。加强与江苏海陵等地对接，积极承接东部纺织、服饰企业外迁和产业转移，大力培育设计、加工、销售等要素市场，打造新兴产业类型。到2025年，实现新兴战略工业产值2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专栏3-5  新兴产业重点项目 </w:t>
            </w:r>
          </w:p>
          <w:p>
            <w:pPr>
              <w:pStyle w:val="2"/>
              <w:keepNext w:val="0"/>
              <w:keepLines w:val="0"/>
              <w:widowControl/>
              <w:suppressLineNumbers w:val="0"/>
              <w:ind w:left="0" w:firstLine="420"/>
            </w:pPr>
            <w:r>
              <w:t xml:space="preserve">生物质发电、太阳能电池组件、新能源综合开发、光伏发电、分散式风力发电、锂电池生产、锂电池系统集成、磷酸铁锂电池、服饰产业示范园 </w:t>
            </w:r>
          </w:p>
        </w:tc>
      </w:tr>
    </w:tbl>
    <w:p>
      <w:pPr>
        <w:pStyle w:val="2"/>
        <w:keepNext w:val="0"/>
        <w:keepLines w:val="0"/>
        <w:widowControl/>
        <w:suppressLineNumbers w:val="0"/>
        <w:ind w:left="0" w:firstLine="420"/>
        <w:jc w:val="both"/>
      </w:pPr>
      <w:r>
        <w:t xml:space="preserve">——提升企业科技创新能力。紧盯新时代科技创新发展新定位，加快先进实用技术普及推广，运用新技术改造传统优势产业，引导涉煤企业通过与科研机构合作，设立研发中心等方式，按照一体化、高端化、科技化的方向，切实提升煤炭产业科技水平，重点围绕冲击地压、水害、高瓦斯等灾害治理和煤矸石、粉煤灰等资源循环利用，加大科研攻关力度，应用新技术新工艺，实现低消耗、高质量发展。 </w:t>
      </w:r>
    </w:p>
    <w:p>
      <w:pPr>
        <w:pStyle w:val="2"/>
        <w:keepNext w:val="0"/>
        <w:keepLines w:val="0"/>
        <w:widowControl/>
        <w:suppressLineNumbers w:val="0"/>
        <w:ind w:left="0" w:firstLine="420"/>
        <w:jc w:val="both"/>
      </w:pPr>
      <w:r>
        <w:t xml:space="preserve">二、发展绿色高效农业 </w:t>
      </w:r>
    </w:p>
    <w:p>
      <w:pPr>
        <w:pStyle w:val="2"/>
        <w:keepNext w:val="0"/>
        <w:keepLines w:val="0"/>
        <w:widowControl/>
        <w:suppressLineNumbers w:val="0"/>
        <w:ind w:left="0" w:firstLine="420"/>
        <w:jc w:val="both"/>
      </w:pPr>
      <w:r>
        <w:t xml:space="preserve">按照“绿色循环、优质高效、服务支撑”的思路，积极构建现代农业产业体系，推进农业绿色高效发展，以发展现代农业、夯实增收基础为首要任务，确保粮食安全，做优苹果产业，做大蔬菜产业，做强畜牧产业，壮大特色产业，构建具有地方特色的现代农业产业体系。到2025年，农业总产值达到38.3亿元。 </w:t>
      </w:r>
    </w:p>
    <w:p>
      <w:pPr>
        <w:pStyle w:val="2"/>
        <w:keepNext w:val="0"/>
        <w:keepLines w:val="0"/>
        <w:widowControl/>
        <w:suppressLineNumbers w:val="0"/>
        <w:ind w:left="0" w:firstLine="420"/>
        <w:jc w:val="both"/>
      </w:pPr>
      <w:r>
        <w:t xml:space="preserve">——优化农业布局。按照“塬面苹果河滩菜、山坡杂果中药材、畜牧养殖做示范”的思路，合理划分农业产业区域，促进集中连片发展，着力打造农业“五区”板块。苹果产业主导区：在亭口镇、巨家镇、枣园镇、相公镇、彭公镇、洪家镇发展现代果业示范区；设施蔬菜产业集中区：在丁家镇张代河村、相公镇胡家河村、巨家镇马成寺村等镇村重点发展设施蔬菜产业；优质杂果产业集中区：在彭公镇高家坡村、枣园镇寨子村、巨家镇马家村等镇村重点发展杂果经济产业；中药材产业集中区：在枣园镇河川口村、相公镇芋元村、巨家镇常家村等镇村重点发展中药材产业；畜牧养殖产业集中区：在昭仁街道、亭口镇、巨家镇、相公镇、洪家镇、丁家镇、彭公镇部分村重点发展畜牧养殖产业。 </w:t>
      </w:r>
    </w:p>
    <w:p>
      <w:pPr>
        <w:pStyle w:val="2"/>
        <w:keepNext w:val="0"/>
        <w:keepLines w:val="0"/>
        <w:widowControl/>
        <w:suppressLineNumbers w:val="0"/>
        <w:ind w:left="0" w:firstLine="420"/>
        <w:jc w:val="center"/>
      </w:pPr>
      <w:r>
        <w:t xml:space="preserve">图7  农业产业发展布局图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9525000" cy="13468350"/>
            <wp:effectExtent l="0" t="0" r="0" b="381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9525000" cy="13468350"/>
                    </a:xfrm>
                    <a:prstGeom prst="rect">
                      <a:avLst/>
                    </a:prstGeom>
                    <a:noFill/>
                    <a:ln w="9525">
                      <a:noFill/>
                    </a:ln>
                  </pic:spPr>
                </pic:pic>
              </a:graphicData>
            </a:graphic>
          </wp:inline>
        </w:drawing>
      </w:r>
    </w:p>
    <w:p>
      <w:pPr>
        <w:pStyle w:val="2"/>
        <w:keepNext w:val="0"/>
        <w:keepLines w:val="0"/>
        <w:widowControl/>
        <w:suppressLineNumbers w:val="0"/>
        <w:ind w:left="0" w:firstLine="420"/>
        <w:jc w:val="both"/>
      </w:pPr>
      <w:r>
        <w:t xml:space="preserve">——保障粮食安全供给。坚持“藏粮于地、藏粮于技”，坚决防止耕地非粮化，确保粮食安全稳定。实施高标准农田建设，增加农机装备总量，推行土壤改良、地力培肥、保水保肥等综合措施。以小麦、玉米为重点，推广“良种培育、病虫害防控、植物检疫、旱作节水、测土配方施肥和机械化生产”等技术，提升粮食复种指数和综合生产能力。推广“产购储加销”粮食发展模式，构建粮食全产业链条。实施优质粮食工程，健全粮食和物资储备系统，推进智慧粮库建设。不断稳定种粮农民补贴，保障种粮有合理收益。到2025年，小麦标准化生产稳定在10万亩，地膜玉米高产栽培5.5万亩，粮食总产稳定在5.2万吨以上，良种普及率达到100%。 </w:t>
      </w:r>
    </w:p>
    <w:p>
      <w:pPr>
        <w:pStyle w:val="2"/>
        <w:keepNext w:val="0"/>
        <w:keepLines w:val="0"/>
        <w:widowControl/>
        <w:suppressLineNumbers w:val="0"/>
        <w:ind w:left="0" w:firstLine="420"/>
        <w:jc w:val="center"/>
      </w:pPr>
      <w:r>
        <w:t xml:space="preserve">——全面提振苹果产业。以建设绿色果品基地为目标，突出标准化、产业化、高效化，健全技术指导、政策保障、产品销售等服务体系，推进苹果由产业优势向市场优势转变。加大老果园升级改造力度，稳步扩大富士优系、嘎啦优系、蜜脆、红盖露、玉华早富、瑞阳、瑞雪等新品种栽植面积，每年改造升级老果园1.2万亩、新建果园面积不少于1万亩。大力实施果品提质“双万”工程（万亩老果园升级改造示范园区、万亩双矮果业科技示范园区），打造集科技试验、示范、旅游观光、采摘为一体的现代智慧化果业园区。成立苹果试验示范站，组建基层果业技术服务站，建设县级果业技术培训中心，提升果业经济引领能力。大力推广苹果政策性保险。落实高效节水灌溉、测土配方施肥、有害生物防控、自然灾害防御等措施，实行科学作务、精细管理，做优果品质量，做靓长武苹果品牌，打响“中国苹果之乡”名号。到2025年，苹果面积发展到27万亩，政策性苹果保险覆盖率达到100%，优果率达到87%，实现产值18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专栏3-6  果品种植重点项目 </w:t>
            </w:r>
          </w:p>
          <w:p>
            <w:pPr>
              <w:pStyle w:val="2"/>
              <w:keepNext w:val="0"/>
              <w:keepLines w:val="0"/>
              <w:widowControl/>
              <w:suppressLineNumbers w:val="0"/>
              <w:ind w:left="0" w:firstLine="420"/>
              <w:jc w:val="both"/>
            </w:pPr>
            <w:r>
              <w:t xml:space="preserve">万亩老果园升级改造示范园区、万亩双矮果业科技示范园区、苹果矮化苗木繁育及新技术推广、苹果产业智慧果园、果业试验示范站 </w:t>
            </w:r>
          </w:p>
        </w:tc>
      </w:tr>
    </w:tbl>
    <w:p>
      <w:pPr>
        <w:pStyle w:val="2"/>
        <w:keepNext w:val="0"/>
        <w:keepLines w:val="0"/>
        <w:widowControl/>
        <w:suppressLineNumbers w:val="0"/>
        <w:ind w:left="0" w:firstLine="420"/>
        <w:jc w:val="center"/>
      </w:pPr>
      <w:r>
        <w:t xml:space="preserve">——持续壮大畜牧产业。围绕畜牧业转型升级，以生猪养殖为重点，加快生猪标准化、专业化规模养殖场建设，规范生猪及其产品有序流通，保障市场安全稳定供给。大力发展肉驴、肉牛、肉羊、蛋鸡、獭兔等养殖产业。健全良种繁育体系，强化动物疫病防控，落实常态化免疫措施，提高突发疫情应对处置能力。加强畜产品质量监管，严格兽药、饲料及添加剂检测，加强产地检疫、运输检疫、市场检疫，确保畜产品安全放心。到2025年，新增千头以上生猪规模养殖场10个，生猪存栏达到15万头，畜牧业产值达到5.2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专栏3-7  畜牧养殖重点项目 </w:t>
            </w:r>
          </w:p>
          <w:p>
            <w:pPr>
              <w:pStyle w:val="2"/>
              <w:keepNext w:val="0"/>
              <w:keepLines w:val="0"/>
              <w:widowControl/>
              <w:suppressLineNumbers w:val="0"/>
              <w:ind w:left="0" w:firstLine="420"/>
              <w:jc w:val="both"/>
            </w:pPr>
            <w:r>
              <w:t xml:space="preserve">正大农牧业综合示范、百万蛋鸡育成育雏养殖、林下种养殖基地、规模养殖、特色养殖、生猪养殖场、畜牧养殖示范基地 </w:t>
            </w:r>
          </w:p>
        </w:tc>
      </w:tr>
    </w:tbl>
    <w:p>
      <w:pPr>
        <w:pStyle w:val="2"/>
        <w:keepNext w:val="0"/>
        <w:keepLines w:val="0"/>
        <w:widowControl/>
        <w:suppressLineNumbers w:val="0"/>
        <w:ind w:left="0" w:firstLine="420"/>
        <w:jc w:val="center"/>
      </w:pPr>
      <w:r>
        <w:t xml:space="preserve">——加快提升特色产业。实施设施蔬菜提质工程，支持反季节商品蔬菜生产，建设泾河、黑河、南河流域三条蔬菜产业带。到2025年，蔬菜种植面积达到2.8万亩以上，总产达到5.6万吨，实现产值7500万元。实施杂果产业增效工程，利用沟坡、塬边等地带，鼓励发展核桃、花椒、红枣、柿子、扁桃、吊杆杏等杂果，促进杂果经济林集中连片发展。到2025年，建设优质杂果经济林3万亩以上。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专栏3-8  特色农业重点项目 </w:t>
            </w:r>
          </w:p>
          <w:p>
            <w:pPr>
              <w:pStyle w:val="2"/>
              <w:keepNext w:val="0"/>
              <w:keepLines w:val="0"/>
              <w:widowControl/>
              <w:suppressLineNumbers w:val="0"/>
              <w:ind w:left="0" w:firstLine="420"/>
              <w:jc w:val="both"/>
            </w:pPr>
            <w:r>
              <w:t xml:space="preserve">万亩吊干杏产业基、胡家河田园综合体、百合产业园、花椒种植、中药材种植基地、藜麦菜种植、设施蔬菜种植、河滩设施温棚、太秋甜柿种植、苗木花卉种植、食用菌种植 </w:t>
            </w:r>
          </w:p>
        </w:tc>
      </w:tr>
    </w:tbl>
    <w:p>
      <w:pPr>
        <w:pStyle w:val="2"/>
        <w:keepNext w:val="0"/>
        <w:keepLines w:val="0"/>
        <w:widowControl/>
        <w:suppressLineNumbers w:val="0"/>
        <w:ind w:left="0" w:firstLine="420"/>
        <w:jc w:val="both"/>
      </w:pPr>
      <w:r>
        <w:t xml:space="preserve">——健全生产服务体系。健全标准化生产体系。推广农业良种优苗和先进管护技术，优化用肥用药和饲料结构，建立统一供应良种、统一技术规程、统一田间管理、统一机械化的作业体系，做好“双品一标”认证工作，推动农业从产量增长向质量提升转变。健全市场化营销体系。强化农产品储藏运输、精选包装、加工销售、信息服务等基础设施建设，建立健全农产品市场营销网络，大力发展订单农业，建立电子网络营销平台，推动网上经营与实体经营相结合，以信息化带动农产品流通现代化。健全社会化服务体系。完善农业县镇区域服务站点，强化公益性农技人才队伍培养，培育专业技术协会等有偿服务机构，组建病虫害绿色防控专业化队伍，示范推广关键技术，保障农业生产安全。 </w:t>
      </w:r>
    </w:p>
    <w:p>
      <w:pPr>
        <w:pStyle w:val="2"/>
        <w:keepNext w:val="0"/>
        <w:keepLines w:val="0"/>
        <w:widowControl/>
        <w:suppressLineNumbers w:val="0"/>
        <w:ind w:left="0" w:firstLine="420"/>
        <w:jc w:val="both"/>
      </w:pPr>
      <w:r>
        <w:t xml:space="preserve">三、大力发展现代服务业 </w:t>
      </w:r>
    </w:p>
    <w:p>
      <w:pPr>
        <w:pStyle w:val="2"/>
        <w:keepNext w:val="0"/>
        <w:keepLines w:val="0"/>
        <w:widowControl/>
        <w:suppressLineNumbers w:val="0"/>
        <w:ind w:left="0" w:firstLine="420"/>
        <w:jc w:val="both"/>
      </w:pPr>
      <w:r>
        <w:t xml:space="preserve">围绕“市场主导、项目带动、分类推进、扶优培强”思路，坚持跨界融合、模式创新，加快结构调整和转型升级，重点发展现代物流、电子商务、文化旅游、商贸服务、现代金融等第三产业，促进服务业规模扩大、层次提升、效益倍增，加快构建与现代工业相适应、特色农业相配套，城乡统筹相协调的现代服务体系。到2025年，服务业增加值达到36亿元，服务业增加值占GDP比重达到25.7%。 </w:t>
      </w:r>
    </w:p>
    <w:p>
      <w:pPr>
        <w:pStyle w:val="2"/>
        <w:keepNext w:val="0"/>
        <w:keepLines w:val="0"/>
        <w:widowControl/>
        <w:suppressLineNumbers w:val="0"/>
        <w:ind w:left="0" w:firstLine="420"/>
        <w:jc w:val="both"/>
      </w:pPr>
      <w:r>
        <w:t xml:space="preserve">——加快发展现代物流业。以冷链物流、快递物流、电商物流、大宗商品物流为重点，构建“4+8+N”的现代物流服务体系：依托福银高速、312国道、西平铁路、灵华高速，在县城、彭公镇、亭口镇、枣园镇建设4个综合物流产业园区，在各镇（街道）规划建设8个物流配送中心，在各村布点建设N个物流集散点。突出煤炭、煤化工业综合物流，建设农副产品冷链物流园、商贸物流园平台、苹果贸易物流中心、县镇村三级物流站等项目，构建集仓储、中转、运输、分拨、配送、包装、加工等于一体的产业链，形成城市与农村、产地与销地快捷连接、协调发展的物流格局，打造对接西咸、服务陕甘、辐射西北的现代物流集散地。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专栏3-9  仓储物流重点项目 </w:t>
            </w:r>
          </w:p>
          <w:p>
            <w:pPr>
              <w:pStyle w:val="2"/>
              <w:keepNext w:val="0"/>
              <w:keepLines w:val="0"/>
              <w:widowControl/>
              <w:suppressLineNumbers w:val="0"/>
              <w:ind w:left="0" w:firstLine="420"/>
            </w:pPr>
            <w:r>
              <w:t xml:space="preserve">胡家河（孟村）煤矿铁路专用线、安华铁路物流中心、智慧物流项目、冷链物流配送与果品深加工、农村专业合作社气调库冷藏库、西北农产品加工电商服务平台暨冷链物流配送、丰泽冷链物流及仓储、大唐备用煤场全封闭改造 </w:t>
            </w:r>
          </w:p>
        </w:tc>
      </w:tr>
    </w:tbl>
    <w:p>
      <w:pPr>
        <w:pStyle w:val="2"/>
        <w:keepNext w:val="0"/>
        <w:keepLines w:val="0"/>
        <w:widowControl/>
        <w:suppressLineNumbers w:val="0"/>
        <w:ind w:left="0" w:firstLine="420"/>
        <w:jc w:val="both"/>
      </w:pPr>
      <w:r>
        <w:t xml:space="preserve">——大力发展电子商务。扎实推进“331”电商强县行动，建设电商公共服务中心、物流配送中心、镇村电商服务站三大平台，补齐仓储设施较少、物流成本较高、电商企业数量少、实力弱三个短板，建设一个市级电子商务示范园区，打造“中国西部电商强县”。深化国家电子商务进农村综合示范项目建设，结合苹果等优势产业，加快推进农产品标准化建设，完善农产品供应链，打造区域特色农产品网销品牌。提升电商服务中心服务水平，加强专业人才培训，加快电商仓储设施建设，招引、培育一批电商龙头企业，建设一个集公共服务、企业孵化、仓储分拣、物流配送于一体的电子商务产业园。到2025年，培育年销售额1000万元以上的电商企业10家以上，电子商务年交易额达到5亿元。 </w:t>
      </w:r>
    </w:p>
    <w:p>
      <w:pPr>
        <w:pStyle w:val="2"/>
        <w:keepNext w:val="0"/>
        <w:keepLines w:val="0"/>
        <w:widowControl/>
        <w:suppressLineNumbers w:val="0"/>
        <w:ind w:left="0" w:firstLine="420"/>
        <w:jc w:val="both"/>
      </w:pPr>
      <w:r>
        <w:t xml:space="preserve">——繁荣发展商贸服务业。按照“发展提速、比重提高、品质提升”原则，推进果品交易中心、农产品交易中心、蔬菜交易中心、中药材交易中心等项目建设，打造一批中心商圈、商贸综合体、特色商业街区以及专业市场。加快县镇村三级商贸流通网络建设，有序发展镇区商贸设施，建立村级配送中心，构建以县城商贸集聚地为核心、特色商业街区为支撑、镇（街道）便民市场为节点的现代商贸服务体系。打造特色餐饮、电子商务、文化娱乐、酒吧休闲等特色街区，优化便民市场、商业街、商贸市场、商业综合体布局，发展生产资料和生活消费品专业市场、农村连锁超市、镇级供销智慧超市、社区综合服务中心及村级综合服务社，优化城乡消费结构。培育龙头示范企业，支持本土商贸品牌成长，引导企业整合资源，推动传统商贸企业向全渠道运营商、供应链服务商、新零售企业转型发展。到2025年，社会消费品零售总额达到38.6亿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专栏3-10  商贸服务重点项目 </w:t>
            </w:r>
          </w:p>
          <w:p>
            <w:pPr>
              <w:pStyle w:val="2"/>
              <w:keepNext w:val="0"/>
              <w:keepLines w:val="0"/>
              <w:widowControl/>
              <w:suppressLineNumbers w:val="0"/>
              <w:ind w:left="0" w:firstLine="420"/>
            </w:pPr>
            <w:r>
              <w:t xml:space="preserve">创业服务中心、电商品牌创建、电商服务体系建设、镇级创业服务中心、电子商务进农村综合示范、电子商务服务站、电商平台 </w:t>
            </w:r>
          </w:p>
        </w:tc>
      </w:tr>
    </w:tbl>
    <w:p>
      <w:pPr>
        <w:pStyle w:val="2"/>
        <w:keepNext w:val="0"/>
        <w:keepLines w:val="0"/>
        <w:widowControl/>
        <w:suppressLineNumbers w:val="0"/>
        <w:ind w:left="0" w:firstLine="420"/>
        <w:jc w:val="both"/>
      </w:pPr>
      <w:r>
        <w:t xml:space="preserve">——多元发展文化旅游业。坚持全域旅游发展理念，挖掘历史文化、民俗文化、红色文化、生态文化特色潜力，开发“生态长武、文化长武、休闲长武、活力长武”四大旅游产品，健全服务标准体系，完善特色街区、星级酒店、娱乐演出、出行设施等要素，打造丝绸之路经济带重要旅游节点。做靓旅游景点，建设一批标志性文化景观工程，开发昭仁寺、东岳庙、圣母殿、药王洞等景点，培育文化体验游、乡村民宿游、观光休闲游、现代农业游、生态运动游等新业态。完善亭口丝路驿站、习仲勋革命活动旧址等旅游景点服务设施，提升红星森林公园、丁家镇十里铺丝路古驿、相公镇青龙山乡村旅游景区等乡村旅游业发展水平，打造泾河生态旅游走廊，形成承载“长武记忆”的旅游新亮点。到2025年，新增A级景区3个。做活民俗文化，开发柳毅传书景区、泾河风情园、碾子坡遗址、牛弘墓保护开发等文物景点，建设木偶戏、皮影戏、管子乐、道场、社火等非物质文化遗产展示馆，打造精品民俗文化旅游线路。做精旅游商品，推介锅盔、血条汤、水豆腐、刀剺面等特色美食，传承花馍、刺绣、剪纸等民间工艺，提升地方旅游商品知名度和竞争力。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专栏3-11  旅游重点项目 </w:t>
            </w:r>
          </w:p>
          <w:p>
            <w:pPr>
              <w:pStyle w:val="2"/>
              <w:keepNext w:val="0"/>
              <w:keepLines w:val="0"/>
              <w:widowControl/>
              <w:suppressLineNumbers w:val="0"/>
              <w:ind w:left="0" w:firstLine="420"/>
            </w:pPr>
            <w:r>
              <w:t xml:space="preserve">昭仁寺景区、柳毅传书文化生态旅游区、红星森林公园、温泉度假村、古民居保护开发、亭口古街开发、川丰乡村旅游、黑河川历史文化保护开发、红色旅游专线、山川茶舍、青龙山景区提升改造、牛弘故里景区、碾子坡遗址开发与保护、长武革命历史陈列室 </w:t>
            </w:r>
          </w:p>
        </w:tc>
      </w:tr>
    </w:tbl>
    <w:p>
      <w:pPr>
        <w:pStyle w:val="2"/>
        <w:keepNext w:val="0"/>
        <w:keepLines w:val="0"/>
        <w:widowControl/>
        <w:suppressLineNumbers w:val="0"/>
        <w:ind w:left="0" w:firstLine="420"/>
        <w:jc w:val="both"/>
      </w:pPr>
      <w:r>
        <w:t xml:space="preserve">——稳步发展现代金融业。实施“金融+”行动计划，建立健全金融监管服务体系。丰富金融产品供给，构建风险投资、银行信贷、债券市场等全方位、多层次金融产业体系。建立金融机构引进激励机制，推进地方性金融机构做优做强。完善普惠金融体系，探索开展“双培双贷”（首贷培植、续贷培育）小微企业金融服务提升工程，提升中小微企业和“三农”金融服务水平。持续实施“智慧县域+普惠金融”服务项目。创新农村金融服务载体，引导金融机构扩大信贷范围。健全直接融资体系，深入推进企业挂牌上市工作。开展信用镇、信用村、信用户评定。探索设立金融协调、民间借贷等监管服务机构，推动融资服务和民间借贷规范运行。加强重点领域风险监测分析，严防金融风险，营造良好的金融生态环境。 </w:t>
      </w:r>
    </w:p>
    <w:p>
      <w:pPr>
        <w:keepNext w:val="0"/>
        <w:keepLines w:val="0"/>
        <w:widowControl/>
        <w:suppressLineNumbers w:val="0"/>
        <w:jc w:val="center"/>
      </w:pPr>
      <w:r>
        <w:rPr>
          <w:rFonts w:ascii="宋体" w:hAnsi="宋体" w:eastAsia="宋体" w:cs="宋体"/>
          <w:kern w:val="0"/>
          <w:sz w:val="24"/>
          <w:szCs w:val="24"/>
          <w:lang w:val="en-US" w:eastAsia="zh-CN" w:bidi="ar"/>
        </w:rPr>
        <w:t xml:space="preserve">第四章  增强县域经济发展活力 </w:t>
      </w:r>
    </w:p>
    <w:p>
      <w:pPr>
        <w:pStyle w:val="2"/>
        <w:keepNext w:val="0"/>
        <w:keepLines w:val="0"/>
        <w:widowControl/>
        <w:suppressLineNumbers w:val="0"/>
        <w:ind w:left="0" w:firstLine="420"/>
        <w:jc w:val="both"/>
      </w:pPr>
      <w:r>
        <w:t xml:space="preserve">坚持顶层设计与基层探索相结合，改革创新与要素激活相统一，全面深化改革，扩大对外开放，加大招商引资力度，强化项目全生命周期管理，增加项目储备深度，营造良好发展环境，激发社会活力，增强县域经济发展新动能。 </w:t>
      </w:r>
    </w:p>
    <w:p>
      <w:pPr>
        <w:pStyle w:val="2"/>
        <w:keepNext w:val="0"/>
        <w:keepLines w:val="0"/>
        <w:widowControl/>
        <w:suppressLineNumbers w:val="0"/>
        <w:ind w:left="0" w:firstLine="420"/>
        <w:jc w:val="center"/>
      </w:pPr>
      <w:r>
        <w:t xml:space="preserve">一、深化重点领域改革 </w:t>
      </w:r>
    </w:p>
    <w:p>
      <w:pPr>
        <w:pStyle w:val="2"/>
        <w:keepNext w:val="0"/>
        <w:keepLines w:val="0"/>
        <w:widowControl/>
        <w:suppressLineNumbers w:val="0"/>
        <w:ind w:left="0" w:firstLine="420"/>
        <w:jc w:val="both"/>
      </w:pPr>
      <w:r>
        <w:t xml:space="preserve">加强资源整合力度，精简办事机构，推行网上行政审批，完善投融资管理体制，强化供给体系等领域服务能力，全面推进重点领域改革。 </w:t>
      </w:r>
    </w:p>
    <w:p>
      <w:pPr>
        <w:pStyle w:val="2"/>
        <w:keepNext w:val="0"/>
        <w:keepLines w:val="0"/>
        <w:widowControl/>
        <w:suppressLineNumbers w:val="0"/>
        <w:ind w:left="0" w:firstLine="420"/>
        <w:jc w:val="center"/>
      </w:pPr>
      <w:r>
        <w:t xml:space="preserve">——深化行政管理体制改革。稳步推进机构改革下放权限承接、合并部门业务衔接及职能转换。持续深化行政审批制度改革，统筹推进相对集中行政许可权改革，精简规范工作流程，推广网上并联审批新模式。持续完善市场准入负面清单，降低市场准入门槛，建立“全国一张清单”管理模式，有序推进“证照分离”改革。推进“双随机、一公开”监管、重点监管与信用监管等方式深度融合，加快推进“互联网+监管”系统建设及应用。加快推进教育、医药、文化等民生保障领域体制改革，提升为民服务水平。 </w:t>
      </w:r>
    </w:p>
    <w:p>
      <w:pPr>
        <w:pStyle w:val="2"/>
        <w:keepNext w:val="0"/>
        <w:keepLines w:val="0"/>
        <w:widowControl/>
        <w:suppressLineNumbers w:val="0"/>
        <w:ind w:left="0" w:firstLine="420"/>
        <w:jc w:val="center"/>
      </w:pPr>
      <w:r>
        <w:t xml:space="preserve">——推进农村综合改革。落实第二轮土地承包到期后再延长三十年政策，推进和完善农村产权制度改革，建立归属清晰、权责明确、保护严格、流转顺畅的现代产权制度。加快推进农村土地经营权和农民住房财产权抵押担保、入股经营步伐，建立符合农村实际的产权交易市场与交易规则。加速农村集体经营性建设用地入市改革，建立城乡统一的用地市场，在符合规划和用途管制前提下，允许农村集体经营性建设用地出让、租赁、入股，实行与国有土地同等入市、同权同价。推进农村以三产融合为引领的供给侧改革，积极培育新型农村经营主体和产业带头人。促进农村传统经营模式向现代信息模式转变，建立产业兴旺、治理有效、生活富裕的农村发展新格局。 </w:t>
      </w:r>
    </w:p>
    <w:p>
      <w:pPr>
        <w:pStyle w:val="2"/>
        <w:keepNext w:val="0"/>
        <w:keepLines w:val="0"/>
        <w:widowControl/>
        <w:suppressLineNumbers w:val="0"/>
        <w:ind w:left="0" w:firstLine="420"/>
        <w:jc w:val="center"/>
      </w:pPr>
      <w:r>
        <w:t xml:space="preserve">——加快关键环节改革。建立规范的消费型增值税制度，依法加强税收和非税收入征管。深化税收制度改革，以先进制造业、民营企业、创新创业为重点，持续减税降费，降低企业经营成本。严控政府性债务，建立规范的政府融资机制。综合考虑各方面因素，有序推进国有企业改制，持续盘活国有闲置资产。贯彻国家“支农、惠农”政策，支持和推动新型农村金融组织健康发展。建立完善的资本市场，扩大企业融资规模和融资渠道。积极推进政府和社会资本合作模式，创新财政资金投入方式，促进县级融资平台转型升级，提高市场化投融资能力。 </w:t>
      </w:r>
    </w:p>
    <w:p>
      <w:pPr>
        <w:pStyle w:val="2"/>
        <w:keepNext w:val="0"/>
        <w:keepLines w:val="0"/>
        <w:widowControl/>
        <w:suppressLineNumbers w:val="0"/>
        <w:ind w:left="0" w:firstLine="420"/>
        <w:jc w:val="center"/>
      </w:pPr>
      <w:r>
        <w:t xml:space="preserve">二、提高对外开放水平 </w:t>
      </w:r>
    </w:p>
    <w:p>
      <w:pPr>
        <w:pStyle w:val="2"/>
        <w:keepNext w:val="0"/>
        <w:keepLines w:val="0"/>
        <w:widowControl/>
        <w:suppressLineNumbers w:val="0"/>
        <w:ind w:left="0" w:firstLine="420"/>
        <w:jc w:val="both"/>
      </w:pPr>
      <w:r>
        <w:t xml:space="preserve">主动融入“双循环”发展新格局，破除限制生产要素自由流动和优化配置的体制机制障碍，着力在“引进来”“走出去”上下功夫，有效激发经济社会发展活力。 </w:t>
      </w:r>
    </w:p>
    <w:p>
      <w:pPr>
        <w:pStyle w:val="2"/>
        <w:keepNext w:val="0"/>
        <w:keepLines w:val="0"/>
        <w:widowControl/>
        <w:suppressLineNumbers w:val="0"/>
        <w:ind w:left="0" w:firstLine="420"/>
        <w:jc w:val="center"/>
      </w:pPr>
      <w:r>
        <w:t xml:space="preserve">——深化区域交流合作。抢抓“一带一路”建设、陕甘两省经济合作、苏陕扶贫协作与经济合作、西安国家中心城市建设的政策机遇，探索资源共享新模式，搭建合作平台，发展飞地经济，加强与彬州、旬邑、麟游、灵台及陇东等周边地区在资源开发、文化旅游、商贸流通、装备制造等方面的合作交流，实现优势互补、互利共赢。支持城乡建设公司积极对外拓展市场，深化合作领域，加强与省内外地区互联互通和交往交流。 </w:t>
      </w:r>
    </w:p>
    <w:p>
      <w:pPr>
        <w:pStyle w:val="2"/>
        <w:keepNext w:val="0"/>
        <w:keepLines w:val="0"/>
        <w:widowControl/>
        <w:suppressLineNumbers w:val="0"/>
        <w:ind w:left="0" w:firstLine="420"/>
        <w:jc w:val="center"/>
      </w:pPr>
      <w:r>
        <w:t xml:space="preserve">——提升招商引资水平。围绕工业产业链延伸、新型制造业发展、特色生态农业等核心领域，突出市场主导地位，梳理生产要素比较优势，采取精准招商、配套招商、绿色招商、以商招商、网络招商等多重方式，持续扩大项目招引规模。运用政府搭台、企业主导、多方协作的招商引资新机制，构建资源共享、平台共享、利益共享的招商引资新模式，完善招商引资联席会议制度，开辟招商引资项目推进“绿色通道”，持续优化招商引资服务机制，提升招商引资项目落地率。发挥《招商引资项目引荐人奖励暂行办法》《工业用地弹性年限出让实施办法》等优惠政策的激励作用，积极对接各地商会、第三方招商机构，发挥其连通各方、贴近市场的优势，加强京津冀、长三角、长江经济带、粤港澳大湾区、一带一路重点区域的招商与合作，切实提升招商引资成功率。 </w:t>
      </w:r>
    </w:p>
    <w:p>
      <w:pPr>
        <w:pStyle w:val="2"/>
        <w:keepNext w:val="0"/>
        <w:keepLines w:val="0"/>
        <w:widowControl/>
        <w:suppressLineNumbers w:val="0"/>
        <w:ind w:left="0" w:firstLine="420"/>
        <w:jc w:val="both"/>
      </w:pPr>
      <w:r>
        <w:t xml:space="preserve">——提升园区承载能力。按照“园区承载、项目带动、集群发展”思路，以“工业向园区集中、产业向园区集聚、要素向园区集约”为方向，完善煤电工业园、五里铺工业园基础设施，加快推进相公塬工业园、路家工业园、煤炭装备制造园、热动力产业园和中小企业创业发展示范基地等专业园区建设，不断提升园区承载能力。坚持“煤炭奠基、电力支撑、能化主导、装备配套”方向，把项目引进作为首要任务，鼓励多元投资参与基础设施建设，加快园区技术创新、投资咨询、企业孵化、质量检测、物流仓储、信息网络等服务平台建设，吸引知名大企业、大集团入驻。到2025年，园区企业总数达到30户以上。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专栏4-1  产业园区重点项目 </w:t>
            </w:r>
          </w:p>
          <w:p>
            <w:pPr>
              <w:pStyle w:val="2"/>
              <w:keepNext w:val="0"/>
              <w:keepLines w:val="0"/>
              <w:widowControl/>
              <w:suppressLineNumbers w:val="0"/>
              <w:ind w:left="0" w:firstLine="420"/>
            </w:pPr>
            <w:r>
              <w:t xml:space="preserve">热动力产业园、食品工业园区、钢结构产业化基地、中小企业创新发展示范基地、煤电工业园标准化厂房、五里铺工业园区标准化厂房、五里铺工业园区污水处理厂、工业固废渣场 </w:t>
            </w:r>
          </w:p>
        </w:tc>
      </w:tr>
    </w:tbl>
    <w:p>
      <w:pPr>
        <w:pStyle w:val="2"/>
        <w:keepNext w:val="0"/>
        <w:keepLines w:val="0"/>
        <w:widowControl/>
        <w:suppressLineNumbers w:val="0"/>
        <w:ind w:left="0" w:firstLine="420"/>
        <w:jc w:val="center"/>
      </w:pPr>
      <w:r>
        <w:t xml:space="preserve">三、持续扩大有效投资 </w:t>
      </w:r>
    </w:p>
    <w:p>
      <w:pPr>
        <w:pStyle w:val="2"/>
        <w:keepNext w:val="0"/>
        <w:keepLines w:val="0"/>
        <w:widowControl/>
        <w:suppressLineNumbers w:val="0"/>
        <w:ind w:left="0" w:firstLine="420"/>
        <w:jc w:val="both"/>
      </w:pPr>
      <w:r>
        <w:t xml:space="preserve">坚持项目带动战略，以项目建设为推动经济社会发展的主抓手，强化项目建设全生命周期管理，挖掘优势产业、基础设施、转型升级、生态环境、民生改善等方面潜力，持续扩大有效投资。发挥《长武县项目策划包装奖补办法》的激励作用，精准对接新形势下国家政策走向，策划一批既符合实际又有广泛市场前景的重点项目。鼓励部门、镇（街道）借助社会力量，围绕投资方向和市场需求，科学调研、合理规划、充分论证，不断丰富项目储备库，实现“在建一批、推进一批、储备一批、策划一批”的项目良性生成机制。统筹做好项目与各类规划的有效衔接，确保项目策划的科学性。继续落实重点项目“五个一”工作机制，规范项目审批程序，执行《长武县工程项目招投标及建设管理若干规定》，健全工程监理制度，加强概算控制，严把工程质量，强化工期管理，细化验收标准，完善后评价体系，确保落地项目规范建设、高效运行，为县域经济高质量发展提供强劲动力。 </w:t>
      </w:r>
    </w:p>
    <w:p>
      <w:pPr>
        <w:pStyle w:val="2"/>
        <w:keepNext w:val="0"/>
        <w:keepLines w:val="0"/>
        <w:widowControl/>
        <w:suppressLineNumbers w:val="0"/>
        <w:ind w:left="0" w:firstLine="420"/>
        <w:jc w:val="both"/>
      </w:pPr>
      <w:r>
        <w:t xml:space="preserve">“十四五”期间规划实施重大项目6大类27小项，总计395个项目，总投资1268亿元。 </w:t>
      </w:r>
    </w:p>
    <w:p>
      <w:pPr>
        <w:pStyle w:val="2"/>
        <w:keepNext w:val="0"/>
        <w:keepLines w:val="0"/>
        <w:widowControl/>
        <w:suppressLineNumbers w:val="0"/>
        <w:ind w:left="0" w:firstLine="420"/>
        <w:jc w:val="center"/>
      </w:pPr>
      <w:r>
        <w:t xml:space="preserve">表3：长武县“十四五”规划纲要重大项目分类统计表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2484"/>
        <w:gridCol w:w="2328"/>
        <w:gridCol w:w="21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gridSpan w:val="3"/>
            <w:shd w:val="clear"/>
            <w:vAlign w:val="center"/>
          </w:tcPr>
          <w:p>
            <w:pPr>
              <w:pStyle w:val="2"/>
              <w:keepNext w:val="0"/>
              <w:keepLines w:val="0"/>
              <w:widowControl/>
              <w:suppressLineNumbers w:val="0"/>
              <w:ind w:left="0" w:firstLine="420"/>
              <w:jc w:val="center"/>
            </w:pPr>
            <w:r>
              <w:t xml:space="preserve">合计：共395个项目，总投资1268亿元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jc w:val="center"/>
            </w:pPr>
            <w:r>
              <w:t xml:space="preserve">类别 </w:t>
            </w:r>
          </w:p>
        </w:tc>
        <w:tc>
          <w:tcPr>
            <w:tcW w:w="2328" w:type="dxa"/>
            <w:shd w:val="clear"/>
            <w:vAlign w:val="center"/>
          </w:tcPr>
          <w:p>
            <w:pPr>
              <w:pStyle w:val="2"/>
              <w:keepNext w:val="0"/>
              <w:keepLines w:val="0"/>
              <w:widowControl/>
              <w:suppressLineNumbers w:val="0"/>
              <w:ind w:left="0" w:firstLine="420"/>
              <w:jc w:val="center"/>
            </w:pPr>
            <w:r>
              <w:t xml:space="preserve">个数 </w:t>
            </w:r>
          </w:p>
        </w:tc>
        <w:tc>
          <w:tcPr>
            <w:tcW w:w="2148" w:type="dxa"/>
            <w:shd w:val="clear"/>
            <w:vAlign w:val="center"/>
          </w:tcPr>
          <w:p>
            <w:pPr>
              <w:pStyle w:val="2"/>
              <w:keepNext w:val="0"/>
              <w:keepLines w:val="0"/>
              <w:widowControl/>
              <w:suppressLineNumbers w:val="0"/>
              <w:ind w:left="0" w:firstLine="420"/>
              <w:jc w:val="center"/>
            </w:pPr>
            <w:r>
              <w:t xml:space="preserve">总投资（万元）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一、产业类 </w:t>
            </w:r>
          </w:p>
        </w:tc>
        <w:tc>
          <w:tcPr>
            <w:tcW w:w="2328" w:type="dxa"/>
            <w:shd w:val="clear"/>
            <w:vAlign w:val="center"/>
          </w:tcPr>
          <w:p>
            <w:pPr>
              <w:pStyle w:val="2"/>
              <w:keepNext w:val="0"/>
              <w:keepLines w:val="0"/>
              <w:widowControl/>
              <w:suppressLineNumbers w:val="0"/>
              <w:ind w:left="0" w:firstLine="420"/>
              <w:jc w:val="center"/>
            </w:pPr>
            <w:r>
              <w:t xml:space="preserve">137 </w:t>
            </w:r>
          </w:p>
        </w:tc>
        <w:tc>
          <w:tcPr>
            <w:tcW w:w="2148" w:type="dxa"/>
            <w:shd w:val="clear"/>
            <w:vAlign w:val="center"/>
          </w:tcPr>
          <w:p>
            <w:pPr>
              <w:pStyle w:val="2"/>
              <w:keepNext w:val="0"/>
              <w:keepLines w:val="0"/>
              <w:widowControl/>
              <w:suppressLineNumbers w:val="0"/>
              <w:ind w:left="0" w:firstLine="420"/>
              <w:jc w:val="center"/>
            </w:pPr>
            <w:r>
              <w:t xml:space="preserve">11118345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（一）农业 </w:t>
            </w:r>
          </w:p>
        </w:tc>
        <w:tc>
          <w:tcPr>
            <w:tcW w:w="2328" w:type="dxa"/>
            <w:shd w:val="clear"/>
            <w:vAlign w:val="center"/>
          </w:tcPr>
          <w:p>
            <w:pPr>
              <w:pStyle w:val="2"/>
              <w:keepNext w:val="0"/>
              <w:keepLines w:val="0"/>
              <w:widowControl/>
              <w:suppressLineNumbers w:val="0"/>
              <w:ind w:left="0" w:firstLine="420"/>
              <w:jc w:val="center"/>
            </w:pPr>
            <w:r>
              <w:t xml:space="preserve">38 </w:t>
            </w:r>
          </w:p>
        </w:tc>
        <w:tc>
          <w:tcPr>
            <w:tcW w:w="2148" w:type="dxa"/>
            <w:shd w:val="clear"/>
            <w:vAlign w:val="center"/>
          </w:tcPr>
          <w:p>
            <w:pPr>
              <w:pStyle w:val="2"/>
              <w:keepNext w:val="0"/>
              <w:keepLines w:val="0"/>
              <w:widowControl/>
              <w:suppressLineNumbers w:val="0"/>
              <w:ind w:left="0" w:firstLine="420"/>
              <w:jc w:val="center"/>
            </w:pPr>
            <w:r>
              <w:t xml:space="preserve">318915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1.种植 </w:t>
            </w:r>
          </w:p>
        </w:tc>
        <w:tc>
          <w:tcPr>
            <w:tcW w:w="2328" w:type="dxa"/>
            <w:shd w:val="clear"/>
            <w:vAlign w:val="center"/>
          </w:tcPr>
          <w:p>
            <w:pPr>
              <w:pStyle w:val="2"/>
              <w:keepNext w:val="0"/>
              <w:keepLines w:val="0"/>
              <w:widowControl/>
              <w:suppressLineNumbers w:val="0"/>
              <w:ind w:left="0" w:firstLine="420"/>
              <w:jc w:val="center"/>
            </w:pPr>
            <w:r>
              <w:t xml:space="preserve">19 </w:t>
            </w:r>
          </w:p>
        </w:tc>
        <w:tc>
          <w:tcPr>
            <w:tcW w:w="2148" w:type="dxa"/>
            <w:shd w:val="clear"/>
            <w:vAlign w:val="center"/>
          </w:tcPr>
          <w:p>
            <w:pPr>
              <w:pStyle w:val="2"/>
              <w:keepNext w:val="0"/>
              <w:keepLines w:val="0"/>
              <w:widowControl/>
              <w:suppressLineNumbers w:val="0"/>
              <w:ind w:left="0" w:firstLine="420"/>
              <w:jc w:val="center"/>
            </w:pPr>
            <w:r>
              <w:t xml:space="preserve">127507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2.养殖 </w:t>
            </w:r>
          </w:p>
        </w:tc>
        <w:tc>
          <w:tcPr>
            <w:tcW w:w="2328" w:type="dxa"/>
            <w:shd w:val="clear"/>
            <w:vAlign w:val="center"/>
          </w:tcPr>
          <w:p>
            <w:pPr>
              <w:pStyle w:val="2"/>
              <w:keepNext w:val="0"/>
              <w:keepLines w:val="0"/>
              <w:widowControl/>
              <w:suppressLineNumbers w:val="0"/>
              <w:ind w:left="0" w:firstLine="420"/>
              <w:jc w:val="center"/>
            </w:pPr>
            <w:r>
              <w:t xml:space="preserve">9 </w:t>
            </w:r>
          </w:p>
        </w:tc>
        <w:tc>
          <w:tcPr>
            <w:tcW w:w="2148" w:type="dxa"/>
            <w:shd w:val="clear"/>
            <w:vAlign w:val="center"/>
          </w:tcPr>
          <w:p>
            <w:pPr>
              <w:pStyle w:val="2"/>
              <w:keepNext w:val="0"/>
              <w:keepLines w:val="0"/>
              <w:widowControl/>
              <w:suppressLineNumbers w:val="0"/>
              <w:ind w:left="0" w:firstLine="420"/>
              <w:jc w:val="center"/>
            </w:pPr>
            <w:r>
              <w:t xml:space="preserve">92703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3.农副产品加工 </w:t>
            </w:r>
          </w:p>
        </w:tc>
        <w:tc>
          <w:tcPr>
            <w:tcW w:w="2328" w:type="dxa"/>
            <w:shd w:val="clear"/>
            <w:vAlign w:val="center"/>
          </w:tcPr>
          <w:p>
            <w:pPr>
              <w:pStyle w:val="2"/>
              <w:keepNext w:val="0"/>
              <w:keepLines w:val="0"/>
              <w:widowControl/>
              <w:suppressLineNumbers w:val="0"/>
              <w:ind w:left="0" w:firstLine="420"/>
              <w:jc w:val="center"/>
            </w:pPr>
            <w:r>
              <w:t xml:space="preserve">10 </w:t>
            </w:r>
          </w:p>
        </w:tc>
        <w:tc>
          <w:tcPr>
            <w:tcW w:w="2148" w:type="dxa"/>
            <w:shd w:val="clear"/>
            <w:vAlign w:val="center"/>
          </w:tcPr>
          <w:p>
            <w:pPr>
              <w:pStyle w:val="2"/>
              <w:keepNext w:val="0"/>
              <w:keepLines w:val="0"/>
              <w:widowControl/>
              <w:suppressLineNumbers w:val="0"/>
              <w:ind w:left="0" w:firstLine="420"/>
              <w:jc w:val="center"/>
            </w:pPr>
            <w:r>
              <w:t xml:space="preserve">98705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（二）工业 </w:t>
            </w:r>
          </w:p>
        </w:tc>
        <w:tc>
          <w:tcPr>
            <w:tcW w:w="2328" w:type="dxa"/>
            <w:shd w:val="clear"/>
            <w:vAlign w:val="center"/>
          </w:tcPr>
          <w:p>
            <w:pPr>
              <w:pStyle w:val="2"/>
              <w:keepNext w:val="0"/>
              <w:keepLines w:val="0"/>
              <w:widowControl/>
              <w:suppressLineNumbers w:val="0"/>
              <w:ind w:left="0" w:firstLine="420"/>
              <w:jc w:val="center"/>
            </w:pPr>
            <w:r>
              <w:t xml:space="preserve">66 </w:t>
            </w:r>
          </w:p>
        </w:tc>
        <w:tc>
          <w:tcPr>
            <w:tcW w:w="2148" w:type="dxa"/>
            <w:shd w:val="clear"/>
            <w:vAlign w:val="center"/>
          </w:tcPr>
          <w:p>
            <w:pPr>
              <w:pStyle w:val="2"/>
              <w:keepNext w:val="0"/>
              <w:keepLines w:val="0"/>
              <w:widowControl/>
              <w:suppressLineNumbers w:val="0"/>
              <w:ind w:left="0" w:firstLine="420"/>
              <w:jc w:val="center"/>
            </w:pPr>
            <w:r>
              <w:t xml:space="preserve">10305700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1.能源化工 </w:t>
            </w:r>
          </w:p>
        </w:tc>
        <w:tc>
          <w:tcPr>
            <w:tcW w:w="2328" w:type="dxa"/>
            <w:shd w:val="clear"/>
            <w:vAlign w:val="center"/>
          </w:tcPr>
          <w:p>
            <w:pPr>
              <w:pStyle w:val="2"/>
              <w:keepNext w:val="0"/>
              <w:keepLines w:val="0"/>
              <w:widowControl/>
              <w:suppressLineNumbers w:val="0"/>
              <w:ind w:left="0" w:firstLine="420"/>
              <w:jc w:val="center"/>
            </w:pPr>
            <w:r>
              <w:t xml:space="preserve">38 </w:t>
            </w:r>
          </w:p>
        </w:tc>
        <w:tc>
          <w:tcPr>
            <w:tcW w:w="2148" w:type="dxa"/>
            <w:shd w:val="clear"/>
            <w:vAlign w:val="center"/>
          </w:tcPr>
          <w:p>
            <w:pPr>
              <w:pStyle w:val="2"/>
              <w:keepNext w:val="0"/>
              <w:keepLines w:val="0"/>
              <w:widowControl/>
              <w:suppressLineNumbers w:val="0"/>
              <w:ind w:left="0" w:firstLine="420"/>
              <w:jc w:val="center"/>
            </w:pPr>
            <w:r>
              <w:t xml:space="preserve">8906000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2.制造业 </w:t>
            </w:r>
          </w:p>
        </w:tc>
        <w:tc>
          <w:tcPr>
            <w:tcW w:w="2328" w:type="dxa"/>
            <w:shd w:val="clear"/>
            <w:vAlign w:val="center"/>
          </w:tcPr>
          <w:p>
            <w:pPr>
              <w:pStyle w:val="2"/>
              <w:keepNext w:val="0"/>
              <w:keepLines w:val="0"/>
              <w:widowControl/>
              <w:suppressLineNumbers w:val="0"/>
              <w:ind w:left="0" w:firstLine="420"/>
              <w:jc w:val="center"/>
            </w:pPr>
            <w:r>
              <w:t xml:space="preserve">7 </w:t>
            </w:r>
          </w:p>
        </w:tc>
        <w:tc>
          <w:tcPr>
            <w:tcW w:w="2148" w:type="dxa"/>
            <w:shd w:val="clear"/>
            <w:vAlign w:val="center"/>
          </w:tcPr>
          <w:p>
            <w:pPr>
              <w:pStyle w:val="2"/>
              <w:keepNext w:val="0"/>
              <w:keepLines w:val="0"/>
              <w:widowControl/>
              <w:suppressLineNumbers w:val="0"/>
              <w:ind w:left="0" w:firstLine="420"/>
              <w:jc w:val="center"/>
            </w:pPr>
            <w:r>
              <w:t xml:space="preserve">621000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3.新能源新材料 </w:t>
            </w:r>
          </w:p>
        </w:tc>
        <w:tc>
          <w:tcPr>
            <w:tcW w:w="2328" w:type="dxa"/>
            <w:shd w:val="clear"/>
            <w:vAlign w:val="center"/>
          </w:tcPr>
          <w:p>
            <w:pPr>
              <w:pStyle w:val="2"/>
              <w:keepNext w:val="0"/>
              <w:keepLines w:val="0"/>
              <w:widowControl/>
              <w:suppressLineNumbers w:val="0"/>
              <w:ind w:left="0" w:firstLine="420"/>
              <w:jc w:val="center"/>
            </w:pPr>
            <w:r>
              <w:t xml:space="preserve">14 </w:t>
            </w:r>
          </w:p>
        </w:tc>
        <w:tc>
          <w:tcPr>
            <w:tcW w:w="2148" w:type="dxa"/>
            <w:shd w:val="clear"/>
            <w:vAlign w:val="center"/>
          </w:tcPr>
          <w:p>
            <w:pPr>
              <w:pStyle w:val="2"/>
              <w:keepNext w:val="0"/>
              <w:keepLines w:val="0"/>
              <w:widowControl/>
              <w:suppressLineNumbers w:val="0"/>
              <w:ind w:left="0" w:firstLine="420"/>
              <w:jc w:val="center"/>
            </w:pPr>
            <w:r>
              <w:t xml:space="preserve">513500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4.园区基础设施 </w:t>
            </w:r>
          </w:p>
        </w:tc>
        <w:tc>
          <w:tcPr>
            <w:tcW w:w="2328" w:type="dxa"/>
            <w:shd w:val="clear"/>
            <w:vAlign w:val="center"/>
          </w:tcPr>
          <w:p>
            <w:pPr>
              <w:pStyle w:val="2"/>
              <w:keepNext w:val="0"/>
              <w:keepLines w:val="0"/>
              <w:widowControl/>
              <w:suppressLineNumbers w:val="0"/>
              <w:ind w:left="0" w:firstLine="420"/>
              <w:jc w:val="center"/>
            </w:pPr>
            <w:r>
              <w:t xml:space="preserve">7 </w:t>
            </w:r>
          </w:p>
        </w:tc>
        <w:tc>
          <w:tcPr>
            <w:tcW w:w="2148" w:type="dxa"/>
            <w:shd w:val="clear"/>
            <w:vAlign w:val="center"/>
          </w:tcPr>
          <w:p>
            <w:pPr>
              <w:pStyle w:val="2"/>
              <w:keepNext w:val="0"/>
              <w:keepLines w:val="0"/>
              <w:widowControl/>
              <w:suppressLineNumbers w:val="0"/>
              <w:ind w:left="0" w:firstLine="420"/>
              <w:jc w:val="center"/>
            </w:pPr>
            <w:r>
              <w:t xml:space="preserve">265200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（三）服务业 </w:t>
            </w:r>
          </w:p>
        </w:tc>
        <w:tc>
          <w:tcPr>
            <w:tcW w:w="2328" w:type="dxa"/>
            <w:shd w:val="clear"/>
            <w:vAlign w:val="center"/>
          </w:tcPr>
          <w:p>
            <w:pPr>
              <w:pStyle w:val="2"/>
              <w:keepNext w:val="0"/>
              <w:keepLines w:val="0"/>
              <w:widowControl/>
              <w:suppressLineNumbers w:val="0"/>
              <w:ind w:left="0" w:firstLine="420"/>
              <w:jc w:val="center"/>
            </w:pPr>
            <w:r>
              <w:t xml:space="preserve">33 </w:t>
            </w:r>
          </w:p>
        </w:tc>
        <w:tc>
          <w:tcPr>
            <w:tcW w:w="2148" w:type="dxa"/>
            <w:shd w:val="clear"/>
            <w:vAlign w:val="center"/>
          </w:tcPr>
          <w:p>
            <w:pPr>
              <w:pStyle w:val="2"/>
              <w:keepNext w:val="0"/>
              <w:keepLines w:val="0"/>
              <w:widowControl/>
              <w:suppressLineNumbers w:val="0"/>
              <w:ind w:left="0" w:firstLine="420"/>
              <w:jc w:val="center"/>
            </w:pPr>
            <w:r>
              <w:t xml:space="preserve">493730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1.仓储物流 </w:t>
            </w:r>
          </w:p>
        </w:tc>
        <w:tc>
          <w:tcPr>
            <w:tcW w:w="2328" w:type="dxa"/>
            <w:shd w:val="clear"/>
            <w:vAlign w:val="center"/>
          </w:tcPr>
          <w:p>
            <w:pPr>
              <w:pStyle w:val="2"/>
              <w:keepNext w:val="0"/>
              <w:keepLines w:val="0"/>
              <w:widowControl/>
              <w:suppressLineNumbers w:val="0"/>
              <w:ind w:left="0" w:firstLine="420"/>
              <w:jc w:val="center"/>
            </w:pPr>
            <w:r>
              <w:t xml:space="preserve">9 </w:t>
            </w:r>
          </w:p>
        </w:tc>
        <w:tc>
          <w:tcPr>
            <w:tcW w:w="2148" w:type="dxa"/>
            <w:shd w:val="clear"/>
            <w:vAlign w:val="center"/>
          </w:tcPr>
          <w:p>
            <w:pPr>
              <w:pStyle w:val="2"/>
              <w:keepNext w:val="0"/>
              <w:keepLines w:val="0"/>
              <w:widowControl/>
              <w:suppressLineNumbers w:val="0"/>
              <w:ind w:left="0" w:firstLine="420"/>
              <w:jc w:val="center"/>
            </w:pPr>
            <w:r>
              <w:t xml:space="preserve">306540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2.商贸服务 </w:t>
            </w:r>
          </w:p>
        </w:tc>
        <w:tc>
          <w:tcPr>
            <w:tcW w:w="2328" w:type="dxa"/>
            <w:shd w:val="clear"/>
            <w:vAlign w:val="center"/>
          </w:tcPr>
          <w:p>
            <w:pPr>
              <w:pStyle w:val="2"/>
              <w:keepNext w:val="0"/>
              <w:keepLines w:val="0"/>
              <w:widowControl/>
              <w:suppressLineNumbers w:val="0"/>
              <w:ind w:left="0" w:firstLine="420"/>
              <w:jc w:val="center"/>
            </w:pPr>
            <w:r>
              <w:t xml:space="preserve">5 </w:t>
            </w:r>
          </w:p>
        </w:tc>
        <w:tc>
          <w:tcPr>
            <w:tcW w:w="2148" w:type="dxa"/>
            <w:shd w:val="clear"/>
            <w:vAlign w:val="center"/>
          </w:tcPr>
          <w:p>
            <w:pPr>
              <w:pStyle w:val="2"/>
              <w:keepNext w:val="0"/>
              <w:keepLines w:val="0"/>
              <w:widowControl/>
              <w:suppressLineNumbers w:val="0"/>
              <w:ind w:left="0" w:firstLine="420"/>
              <w:jc w:val="center"/>
            </w:pPr>
            <w:r>
              <w:t xml:space="preserve">10290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3.旅游 </w:t>
            </w:r>
          </w:p>
        </w:tc>
        <w:tc>
          <w:tcPr>
            <w:tcW w:w="2328" w:type="dxa"/>
            <w:shd w:val="clear"/>
            <w:vAlign w:val="center"/>
          </w:tcPr>
          <w:p>
            <w:pPr>
              <w:pStyle w:val="2"/>
              <w:keepNext w:val="0"/>
              <w:keepLines w:val="0"/>
              <w:widowControl/>
              <w:suppressLineNumbers w:val="0"/>
              <w:ind w:left="0" w:firstLine="420"/>
              <w:jc w:val="center"/>
            </w:pPr>
            <w:r>
              <w:t xml:space="preserve">19 </w:t>
            </w:r>
          </w:p>
        </w:tc>
        <w:tc>
          <w:tcPr>
            <w:tcW w:w="2148" w:type="dxa"/>
            <w:shd w:val="clear"/>
            <w:vAlign w:val="center"/>
          </w:tcPr>
          <w:p>
            <w:pPr>
              <w:pStyle w:val="2"/>
              <w:keepNext w:val="0"/>
              <w:keepLines w:val="0"/>
              <w:widowControl/>
              <w:suppressLineNumbers w:val="0"/>
              <w:ind w:left="0" w:firstLine="420"/>
              <w:jc w:val="center"/>
            </w:pPr>
            <w:r>
              <w:t xml:space="preserve">176900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二、城乡建设类 </w:t>
            </w:r>
          </w:p>
        </w:tc>
        <w:tc>
          <w:tcPr>
            <w:tcW w:w="2328" w:type="dxa"/>
            <w:shd w:val="clear"/>
            <w:vAlign w:val="center"/>
          </w:tcPr>
          <w:p>
            <w:pPr>
              <w:pStyle w:val="2"/>
              <w:keepNext w:val="0"/>
              <w:keepLines w:val="0"/>
              <w:widowControl/>
              <w:suppressLineNumbers w:val="0"/>
              <w:ind w:left="0" w:firstLine="420"/>
              <w:jc w:val="center"/>
            </w:pPr>
            <w:r>
              <w:t xml:space="preserve">76 </w:t>
            </w:r>
          </w:p>
        </w:tc>
        <w:tc>
          <w:tcPr>
            <w:tcW w:w="2148" w:type="dxa"/>
            <w:shd w:val="clear"/>
            <w:vAlign w:val="center"/>
          </w:tcPr>
          <w:p>
            <w:pPr>
              <w:pStyle w:val="2"/>
              <w:keepNext w:val="0"/>
              <w:keepLines w:val="0"/>
              <w:widowControl/>
              <w:suppressLineNumbers w:val="0"/>
              <w:ind w:left="0" w:firstLine="420"/>
              <w:jc w:val="center"/>
            </w:pPr>
            <w:r>
              <w:t xml:space="preserve">566700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（一）县城建设 </w:t>
            </w:r>
          </w:p>
        </w:tc>
        <w:tc>
          <w:tcPr>
            <w:tcW w:w="2328" w:type="dxa"/>
            <w:shd w:val="clear"/>
            <w:vAlign w:val="center"/>
          </w:tcPr>
          <w:p>
            <w:pPr>
              <w:pStyle w:val="2"/>
              <w:keepNext w:val="0"/>
              <w:keepLines w:val="0"/>
              <w:widowControl/>
              <w:suppressLineNumbers w:val="0"/>
              <w:ind w:left="0" w:firstLine="420"/>
              <w:jc w:val="center"/>
            </w:pPr>
            <w:r>
              <w:t xml:space="preserve">36 </w:t>
            </w:r>
          </w:p>
        </w:tc>
        <w:tc>
          <w:tcPr>
            <w:tcW w:w="2148" w:type="dxa"/>
            <w:shd w:val="clear"/>
            <w:vAlign w:val="center"/>
          </w:tcPr>
          <w:p>
            <w:pPr>
              <w:pStyle w:val="2"/>
              <w:keepNext w:val="0"/>
              <w:keepLines w:val="0"/>
              <w:widowControl/>
              <w:suppressLineNumbers w:val="0"/>
              <w:ind w:left="0" w:firstLine="420"/>
              <w:jc w:val="center"/>
            </w:pPr>
            <w:r>
              <w:t xml:space="preserve">422443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1.市政基础设施 </w:t>
            </w:r>
          </w:p>
        </w:tc>
        <w:tc>
          <w:tcPr>
            <w:tcW w:w="2328" w:type="dxa"/>
            <w:shd w:val="clear"/>
            <w:vAlign w:val="center"/>
          </w:tcPr>
          <w:p>
            <w:pPr>
              <w:pStyle w:val="2"/>
              <w:keepNext w:val="0"/>
              <w:keepLines w:val="0"/>
              <w:widowControl/>
              <w:suppressLineNumbers w:val="0"/>
              <w:ind w:left="0" w:firstLine="420"/>
              <w:jc w:val="center"/>
            </w:pPr>
            <w:r>
              <w:t xml:space="preserve">7 </w:t>
            </w:r>
          </w:p>
        </w:tc>
        <w:tc>
          <w:tcPr>
            <w:tcW w:w="2148" w:type="dxa"/>
            <w:shd w:val="clear"/>
            <w:vAlign w:val="center"/>
          </w:tcPr>
          <w:p>
            <w:pPr>
              <w:pStyle w:val="2"/>
              <w:keepNext w:val="0"/>
              <w:keepLines w:val="0"/>
              <w:widowControl/>
              <w:suppressLineNumbers w:val="0"/>
              <w:ind w:left="0" w:firstLine="420"/>
              <w:jc w:val="center"/>
            </w:pPr>
            <w:r>
              <w:t xml:space="preserve">37436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2.城市配套设施 </w:t>
            </w:r>
          </w:p>
        </w:tc>
        <w:tc>
          <w:tcPr>
            <w:tcW w:w="2328" w:type="dxa"/>
            <w:shd w:val="clear"/>
            <w:vAlign w:val="center"/>
          </w:tcPr>
          <w:p>
            <w:pPr>
              <w:pStyle w:val="2"/>
              <w:keepNext w:val="0"/>
              <w:keepLines w:val="0"/>
              <w:widowControl/>
              <w:suppressLineNumbers w:val="0"/>
              <w:ind w:left="0" w:firstLine="420"/>
              <w:jc w:val="center"/>
            </w:pPr>
            <w:r>
              <w:t xml:space="preserve">25 </w:t>
            </w:r>
          </w:p>
        </w:tc>
        <w:tc>
          <w:tcPr>
            <w:tcW w:w="2148" w:type="dxa"/>
            <w:shd w:val="clear"/>
            <w:vAlign w:val="center"/>
          </w:tcPr>
          <w:p>
            <w:pPr>
              <w:pStyle w:val="2"/>
              <w:keepNext w:val="0"/>
              <w:keepLines w:val="0"/>
              <w:widowControl/>
              <w:suppressLineNumbers w:val="0"/>
              <w:ind w:left="0" w:firstLine="420"/>
              <w:jc w:val="center"/>
            </w:pPr>
            <w:r>
              <w:t xml:space="preserve">379780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3.城市管理 </w:t>
            </w:r>
          </w:p>
        </w:tc>
        <w:tc>
          <w:tcPr>
            <w:tcW w:w="2328" w:type="dxa"/>
            <w:shd w:val="clear"/>
            <w:vAlign w:val="center"/>
          </w:tcPr>
          <w:p>
            <w:pPr>
              <w:pStyle w:val="2"/>
              <w:keepNext w:val="0"/>
              <w:keepLines w:val="0"/>
              <w:widowControl/>
              <w:suppressLineNumbers w:val="0"/>
              <w:ind w:left="0" w:firstLine="420"/>
              <w:jc w:val="center"/>
            </w:pPr>
            <w:r>
              <w:t xml:space="preserve">4 </w:t>
            </w:r>
          </w:p>
        </w:tc>
        <w:tc>
          <w:tcPr>
            <w:tcW w:w="2148" w:type="dxa"/>
            <w:shd w:val="clear"/>
            <w:vAlign w:val="center"/>
          </w:tcPr>
          <w:p>
            <w:pPr>
              <w:pStyle w:val="2"/>
              <w:keepNext w:val="0"/>
              <w:keepLines w:val="0"/>
              <w:widowControl/>
              <w:suppressLineNumbers w:val="0"/>
              <w:ind w:left="0" w:firstLine="420"/>
              <w:jc w:val="center"/>
            </w:pPr>
            <w:r>
              <w:t xml:space="preserve">5227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（二）镇村建设 </w:t>
            </w:r>
          </w:p>
        </w:tc>
        <w:tc>
          <w:tcPr>
            <w:tcW w:w="2328" w:type="dxa"/>
            <w:shd w:val="clear"/>
            <w:vAlign w:val="center"/>
          </w:tcPr>
          <w:p>
            <w:pPr>
              <w:pStyle w:val="2"/>
              <w:keepNext w:val="0"/>
              <w:keepLines w:val="0"/>
              <w:widowControl/>
              <w:suppressLineNumbers w:val="0"/>
              <w:ind w:left="0" w:firstLine="420"/>
              <w:jc w:val="center"/>
            </w:pPr>
            <w:r>
              <w:t xml:space="preserve">40 </w:t>
            </w:r>
          </w:p>
        </w:tc>
        <w:tc>
          <w:tcPr>
            <w:tcW w:w="2148" w:type="dxa"/>
            <w:shd w:val="clear"/>
            <w:vAlign w:val="center"/>
          </w:tcPr>
          <w:p>
            <w:pPr>
              <w:pStyle w:val="2"/>
              <w:keepNext w:val="0"/>
              <w:keepLines w:val="0"/>
              <w:widowControl/>
              <w:suppressLineNumbers w:val="0"/>
              <w:ind w:left="0" w:firstLine="420"/>
              <w:jc w:val="center"/>
            </w:pPr>
            <w:r>
              <w:t xml:space="preserve">144257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1.镇区基础设施及公共服务 </w:t>
            </w:r>
          </w:p>
        </w:tc>
        <w:tc>
          <w:tcPr>
            <w:tcW w:w="2328" w:type="dxa"/>
            <w:shd w:val="clear"/>
            <w:vAlign w:val="center"/>
          </w:tcPr>
          <w:p>
            <w:pPr>
              <w:pStyle w:val="2"/>
              <w:keepNext w:val="0"/>
              <w:keepLines w:val="0"/>
              <w:widowControl/>
              <w:suppressLineNumbers w:val="0"/>
              <w:ind w:left="0" w:firstLine="420"/>
              <w:jc w:val="center"/>
            </w:pPr>
            <w:r>
              <w:t xml:space="preserve">23 </w:t>
            </w:r>
          </w:p>
        </w:tc>
        <w:tc>
          <w:tcPr>
            <w:tcW w:w="2148" w:type="dxa"/>
            <w:shd w:val="clear"/>
            <w:vAlign w:val="center"/>
          </w:tcPr>
          <w:p>
            <w:pPr>
              <w:pStyle w:val="2"/>
              <w:keepNext w:val="0"/>
              <w:keepLines w:val="0"/>
              <w:widowControl/>
              <w:suppressLineNumbers w:val="0"/>
              <w:ind w:left="0" w:firstLine="420"/>
              <w:jc w:val="center"/>
            </w:pPr>
            <w:r>
              <w:t xml:space="preserve">41512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2.美丽乡村 </w:t>
            </w:r>
          </w:p>
        </w:tc>
        <w:tc>
          <w:tcPr>
            <w:tcW w:w="2328" w:type="dxa"/>
            <w:shd w:val="clear"/>
            <w:vAlign w:val="center"/>
          </w:tcPr>
          <w:p>
            <w:pPr>
              <w:pStyle w:val="2"/>
              <w:keepNext w:val="0"/>
              <w:keepLines w:val="0"/>
              <w:widowControl/>
              <w:suppressLineNumbers w:val="0"/>
              <w:ind w:left="0" w:firstLine="420"/>
              <w:jc w:val="center"/>
            </w:pPr>
            <w:r>
              <w:t xml:space="preserve">17 </w:t>
            </w:r>
          </w:p>
        </w:tc>
        <w:tc>
          <w:tcPr>
            <w:tcW w:w="2148" w:type="dxa"/>
            <w:shd w:val="clear"/>
            <w:vAlign w:val="center"/>
          </w:tcPr>
          <w:p>
            <w:pPr>
              <w:pStyle w:val="2"/>
              <w:keepNext w:val="0"/>
              <w:keepLines w:val="0"/>
              <w:widowControl/>
              <w:suppressLineNumbers w:val="0"/>
              <w:ind w:left="0" w:firstLine="420"/>
              <w:jc w:val="center"/>
            </w:pPr>
            <w:r>
              <w:t xml:space="preserve">102745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三、基础设施类 </w:t>
            </w:r>
          </w:p>
        </w:tc>
        <w:tc>
          <w:tcPr>
            <w:tcW w:w="2328" w:type="dxa"/>
            <w:shd w:val="clear"/>
            <w:vAlign w:val="center"/>
          </w:tcPr>
          <w:p>
            <w:pPr>
              <w:pStyle w:val="2"/>
              <w:keepNext w:val="0"/>
              <w:keepLines w:val="0"/>
              <w:widowControl/>
              <w:suppressLineNumbers w:val="0"/>
              <w:ind w:left="0" w:firstLine="420"/>
              <w:jc w:val="center"/>
            </w:pPr>
            <w:r>
              <w:t xml:space="preserve">54 </w:t>
            </w:r>
          </w:p>
        </w:tc>
        <w:tc>
          <w:tcPr>
            <w:tcW w:w="2148" w:type="dxa"/>
            <w:shd w:val="clear"/>
            <w:vAlign w:val="center"/>
          </w:tcPr>
          <w:p>
            <w:pPr>
              <w:pStyle w:val="2"/>
              <w:keepNext w:val="0"/>
              <w:keepLines w:val="0"/>
              <w:widowControl/>
              <w:suppressLineNumbers w:val="0"/>
              <w:ind w:left="0" w:firstLine="420"/>
              <w:jc w:val="center"/>
            </w:pPr>
            <w:r>
              <w:t xml:space="preserve">682463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（一）交通 </w:t>
            </w:r>
          </w:p>
        </w:tc>
        <w:tc>
          <w:tcPr>
            <w:tcW w:w="2328" w:type="dxa"/>
            <w:shd w:val="clear"/>
            <w:vAlign w:val="center"/>
          </w:tcPr>
          <w:p>
            <w:pPr>
              <w:pStyle w:val="2"/>
              <w:keepNext w:val="0"/>
              <w:keepLines w:val="0"/>
              <w:widowControl/>
              <w:suppressLineNumbers w:val="0"/>
              <w:ind w:left="0" w:firstLine="420"/>
              <w:jc w:val="center"/>
            </w:pPr>
            <w:r>
              <w:t xml:space="preserve">19 </w:t>
            </w:r>
          </w:p>
        </w:tc>
        <w:tc>
          <w:tcPr>
            <w:tcW w:w="2148" w:type="dxa"/>
            <w:shd w:val="clear"/>
            <w:vAlign w:val="center"/>
          </w:tcPr>
          <w:p>
            <w:pPr>
              <w:pStyle w:val="2"/>
              <w:keepNext w:val="0"/>
              <w:keepLines w:val="0"/>
              <w:widowControl/>
              <w:suppressLineNumbers w:val="0"/>
              <w:ind w:left="0" w:firstLine="420"/>
              <w:jc w:val="center"/>
            </w:pPr>
            <w:r>
              <w:t xml:space="preserve">369760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（二）水利 </w:t>
            </w:r>
          </w:p>
        </w:tc>
        <w:tc>
          <w:tcPr>
            <w:tcW w:w="2328" w:type="dxa"/>
            <w:shd w:val="clear"/>
            <w:vAlign w:val="center"/>
          </w:tcPr>
          <w:p>
            <w:pPr>
              <w:pStyle w:val="2"/>
              <w:keepNext w:val="0"/>
              <w:keepLines w:val="0"/>
              <w:widowControl/>
              <w:suppressLineNumbers w:val="0"/>
              <w:ind w:left="0" w:firstLine="420"/>
              <w:jc w:val="center"/>
            </w:pPr>
            <w:r>
              <w:t xml:space="preserve">18 </w:t>
            </w:r>
          </w:p>
        </w:tc>
        <w:tc>
          <w:tcPr>
            <w:tcW w:w="2148" w:type="dxa"/>
            <w:shd w:val="clear"/>
            <w:vAlign w:val="center"/>
          </w:tcPr>
          <w:p>
            <w:pPr>
              <w:pStyle w:val="2"/>
              <w:keepNext w:val="0"/>
              <w:keepLines w:val="0"/>
              <w:widowControl/>
              <w:suppressLineNumbers w:val="0"/>
              <w:ind w:left="0" w:firstLine="420"/>
              <w:jc w:val="center"/>
            </w:pPr>
            <w:r>
              <w:t xml:space="preserve">227018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（三）电力 </w:t>
            </w:r>
          </w:p>
        </w:tc>
        <w:tc>
          <w:tcPr>
            <w:tcW w:w="2328" w:type="dxa"/>
            <w:shd w:val="clear"/>
            <w:vAlign w:val="center"/>
          </w:tcPr>
          <w:p>
            <w:pPr>
              <w:pStyle w:val="2"/>
              <w:keepNext w:val="0"/>
              <w:keepLines w:val="0"/>
              <w:widowControl/>
              <w:suppressLineNumbers w:val="0"/>
              <w:ind w:left="0" w:firstLine="420"/>
              <w:jc w:val="center"/>
            </w:pPr>
            <w:r>
              <w:t xml:space="preserve">7 </w:t>
            </w:r>
          </w:p>
        </w:tc>
        <w:tc>
          <w:tcPr>
            <w:tcW w:w="2148" w:type="dxa"/>
            <w:shd w:val="clear"/>
            <w:vAlign w:val="center"/>
          </w:tcPr>
          <w:p>
            <w:pPr>
              <w:pStyle w:val="2"/>
              <w:keepNext w:val="0"/>
              <w:keepLines w:val="0"/>
              <w:widowControl/>
              <w:suppressLineNumbers w:val="0"/>
              <w:ind w:left="0" w:firstLine="420"/>
              <w:jc w:val="center"/>
            </w:pPr>
            <w:r>
              <w:t xml:space="preserve">42025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（四）通信 </w:t>
            </w:r>
          </w:p>
        </w:tc>
        <w:tc>
          <w:tcPr>
            <w:tcW w:w="2328" w:type="dxa"/>
            <w:shd w:val="clear"/>
            <w:vAlign w:val="center"/>
          </w:tcPr>
          <w:p>
            <w:pPr>
              <w:pStyle w:val="2"/>
              <w:keepNext w:val="0"/>
              <w:keepLines w:val="0"/>
              <w:widowControl/>
              <w:suppressLineNumbers w:val="0"/>
              <w:ind w:left="0" w:firstLine="420"/>
              <w:jc w:val="center"/>
            </w:pPr>
            <w:r>
              <w:t xml:space="preserve">6 </w:t>
            </w:r>
          </w:p>
        </w:tc>
        <w:tc>
          <w:tcPr>
            <w:tcW w:w="2148" w:type="dxa"/>
            <w:shd w:val="clear"/>
            <w:vAlign w:val="center"/>
          </w:tcPr>
          <w:p>
            <w:pPr>
              <w:pStyle w:val="2"/>
              <w:keepNext w:val="0"/>
              <w:keepLines w:val="0"/>
              <w:widowControl/>
              <w:suppressLineNumbers w:val="0"/>
              <w:ind w:left="0" w:firstLine="420"/>
              <w:jc w:val="center"/>
            </w:pPr>
            <w:r>
              <w:t xml:space="preserve">28500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（五）其他 </w:t>
            </w:r>
          </w:p>
        </w:tc>
        <w:tc>
          <w:tcPr>
            <w:tcW w:w="2328" w:type="dxa"/>
            <w:shd w:val="clear"/>
            <w:vAlign w:val="center"/>
          </w:tcPr>
          <w:p>
            <w:pPr>
              <w:pStyle w:val="2"/>
              <w:keepNext w:val="0"/>
              <w:keepLines w:val="0"/>
              <w:widowControl/>
              <w:suppressLineNumbers w:val="0"/>
              <w:ind w:left="0" w:firstLine="420"/>
              <w:jc w:val="center"/>
            </w:pPr>
            <w:r>
              <w:t xml:space="preserve">4 </w:t>
            </w:r>
          </w:p>
        </w:tc>
        <w:tc>
          <w:tcPr>
            <w:tcW w:w="2148" w:type="dxa"/>
            <w:shd w:val="clear"/>
            <w:vAlign w:val="center"/>
          </w:tcPr>
          <w:p>
            <w:pPr>
              <w:pStyle w:val="2"/>
              <w:keepNext w:val="0"/>
              <w:keepLines w:val="0"/>
              <w:widowControl/>
              <w:suppressLineNumbers w:val="0"/>
              <w:ind w:left="0" w:firstLine="420"/>
              <w:jc w:val="center"/>
            </w:pPr>
            <w:r>
              <w:t xml:space="preserve">15160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四、生态环境类 </w:t>
            </w:r>
          </w:p>
        </w:tc>
        <w:tc>
          <w:tcPr>
            <w:tcW w:w="2328" w:type="dxa"/>
            <w:shd w:val="clear"/>
            <w:vAlign w:val="center"/>
          </w:tcPr>
          <w:p>
            <w:pPr>
              <w:pStyle w:val="2"/>
              <w:keepNext w:val="0"/>
              <w:keepLines w:val="0"/>
              <w:widowControl/>
              <w:suppressLineNumbers w:val="0"/>
              <w:ind w:left="0" w:firstLine="420"/>
              <w:jc w:val="center"/>
            </w:pPr>
            <w:r>
              <w:t xml:space="preserve">17 </w:t>
            </w:r>
          </w:p>
        </w:tc>
        <w:tc>
          <w:tcPr>
            <w:tcW w:w="2148" w:type="dxa"/>
            <w:shd w:val="clear"/>
            <w:vAlign w:val="center"/>
          </w:tcPr>
          <w:p>
            <w:pPr>
              <w:pStyle w:val="2"/>
              <w:keepNext w:val="0"/>
              <w:keepLines w:val="0"/>
              <w:widowControl/>
              <w:suppressLineNumbers w:val="0"/>
              <w:ind w:left="0" w:firstLine="420"/>
              <w:jc w:val="center"/>
            </w:pPr>
            <w:r>
              <w:t xml:space="preserve">34030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五、信息化类 </w:t>
            </w:r>
          </w:p>
        </w:tc>
        <w:tc>
          <w:tcPr>
            <w:tcW w:w="2328" w:type="dxa"/>
            <w:shd w:val="clear"/>
            <w:vAlign w:val="center"/>
          </w:tcPr>
          <w:p>
            <w:pPr>
              <w:pStyle w:val="2"/>
              <w:keepNext w:val="0"/>
              <w:keepLines w:val="0"/>
              <w:widowControl/>
              <w:suppressLineNumbers w:val="0"/>
              <w:ind w:left="0" w:firstLine="420"/>
              <w:jc w:val="center"/>
            </w:pPr>
            <w:r>
              <w:t xml:space="preserve">25 </w:t>
            </w:r>
          </w:p>
        </w:tc>
        <w:tc>
          <w:tcPr>
            <w:tcW w:w="2148" w:type="dxa"/>
            <w:shd w:val="clear"/>
            <w:vAlign w:val="center"/>
          </w:tcPr>
          <w:p>
            <w:pPr>
              <w:pStyle w:val="2"/>
              <w:keepNext w:val="0"/>
              <w:keepLines w:val="0"/>
              <w:widowControl/>
              <w:suppressLineNumbers w:val="0"/>
              <w:ind w:left="0" w:firstLine="420"/>
              <w:jc w:val="center"/>
            </w:pPr>
            <w:r>
              <w:t xml:space="preserve">40421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六、社会事业类 </w:t>
            </w:r>
          </w:p>
        </w:tc>
        <w:tc>
          <w:tcPr>
            <w:tcW w:w="2328" w:type="dxa"/>
            <w:shd w:val="clear"/>
            <w:vAlign w:val="center"/>
          </w:tcPr>
          <w:p>
            <w:pPr>
              <w:pStyle w:val="2"/>
              <w:keepNext w:val="0"/>
              <w:keepLines w:val="0"/>
              <w:widowControl/>
              <w:suppressLineNumbers w:val="0"/>
              <w:ind w:left="0" w:firstLine="420"/>
              <w:jc w:val="center"/>
            </w:pPr>
            <w:r>
              <w:t xml:space="preserve">86 </w:t>
            </w:r>
          </w:p>
        </w:tc>
        <w:tc>
          <w:tcPr>
            <w:tcW w:w="2148" w:type="dxa"/>
            <w:shd w:val="clear"/>
            <w:vAlign w:val="center"/>
          </w:tcPr>
          <w:p>
            <w:pPr>
              <w:pStyle w:val="2"/>
              <w:keepNext w:val="0"/>
              <w:keepLines w:val="0"/>
              <w:widowControl/>
              <w:suppressLineNumbers w:val="0"/>
              <w:ind w:left="0" w:firstLine="420"/>
              <w:jc w:val="center"/>
            </w:pPr>
            <w:r>
              <w:t xml:space="preserve">245057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（一）教育 </w:t>
            </w:r>
          </w:p>
        </w:tc>
        <w:tc>
          <w:tcPr>
            <w:tcW w:w="2328" w:type="dxa"/>
            <w:shd w:val="clear"/>
            <w:vAlign w:val="center"/>
          </w:tcPr>
          <w:p>
            <w:pPr>
              <w:pStyle w:val="2"/>
              <w:keepNext w:val="0"/>
              <w:keepLines w:val="0"/>
              <w:widowControl/>
              <w:suppressLineNumbers w:val="0"/>
              <w:ind w:left="0" w:firstLine="420"/>
              <w:jc w:val="center"/>
            </w:pPr>
            <w:r>
              <w:t xml:space="preserve">15 </w:t>
            </w:r>
          </w:p>
        </w:tc>
        <w:tc>
          <w:tcPr>
            <w:tcW w:w="2148" w:type="dxa"/>
            <w:shd w:val="clear"/>
            <w:vAlign w:val="center"/>
          </w:tcPr>
          <w:p>
            <w:pPr>
              <w:pStyle w:val="2"/>
              <w:keepNext w:val="0"/>
              <w:keepLines w:val="0"/>
              <w:widowControl/>
              <w:suppressLineNumbers w:val="0"/>
              <w:ind w:left="0" w:firstLine="420"/>
              <w:jc w:val="center"/>
            </w:pPr>
            <w:r>
              <w:t xml:space="preserve">96911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（二）卫生 </w:t>
            </w:r>
          </w:p>
        </w:tc>
        <w:tc>
          <w:tcPr>
            <w:tcW w:w="2328" w:type="dxa"/>
            <w:shd w:val="clear"/>
            <w:vAlign w:val="center"/>
          </w:tcPr>
          <w:p>
            <w:pPr>
              <w:pStyle w:val="2"/>
              <w:keepNext w:val="0"/>
              <w:keepLines w:val="0"/>
              <w:widowControl/>
              <w:suppressLineNumbers w:val="0"/>
              <w:ind w:left="0" w:firstLine="420"/>
              <w:jc w:val="center"/>
            </w:pPr>
            <w:r>
              <w:t xml:space="preserve">39 </w:t>
            </w:r>
          </w:p>
        </w:tc>
        <w:tc>
          <w:tcPr>
            <w:tcW w:w="2148" w:type="dxa"/>
            <w:shd w:val="clear"/>
            <w:vAlign w:val="center"/>
          </w:tcPr>
          <w:p>
            <w:pPr>
              <w:pStyle w:val="2"/>
              <w:keepNext w:val="0"/>
              <w:keepLines w:val="0"/>
              <w:widowControl/>
              <w:suppressLineNumbers w:val="0"/>
              <w:ind w:left="0" w:firstLine="420"/>
              <w:jc w:val="center"/>
            </w:pPr>
            <w:r>
              <w:t xml:space="preserve">61746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（三）文化 </w:t>
            </w:r>
          </w:p>
        </w:tc>
        <w:tc>
          <w:tcPr>
            <w:tcW w:w="2328" w:type="dxa"/>
            <w:shd w:val="clear"/>
            <w:vAlign w:val="center"/>
          </w:tcPr>
          <w:p>
            <w:pPr>
              <w:pStyle w:val="2"/>
              <w:keepNext w:val="0"/>
              <w:keepLines w:val="0"/>
              <w:widowControl/>
              <w:suppressLineNumbers w:val="0"/>
              <w:ind w:left="0" w:firstLine="420"/>
              <w:jc w:val="center"/>
            </w:pPr>
            <w:r>
              <w:t xml:space="preserve">12 </w:t>
            </w:r>
          </w:p>
        </w:tc>
        <w:tc>
          <w:tcPr>
            <w:tcW w:w="2148" w:type="dxa"/>
            <w:shd w:val="clear"/>
            <w:vAlign w:val="center"/>
          </w:tcPr>
          <w:p>
            <w:pPr>
              <w:pStyle w:val="2"/>
              <w:keepNext w:val="0"/>
              <w:keepLines w:val="0"/>
              <w:widowControl/>
              <w:suppressLineNumbers w:val="0"/>
              <w:ind w:left="0" w:firstLine="420"/>
              <w:jc w:val="center"/>
            </w:pPr>
            <w:r>
              <w:t xml:space="preserve">22070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（四）体育 </w:t>
            </w:r>
          </w:p>
        </w:tc>
        <w:tc>
          <w:tcPr>
            <w:tcW w:w="2328" w:type="dxa"/>
            <w:shd w:val="clear"/>
            <w:vAlign w:val="center"/>
          </w:tcPr>
          <w:p>
            <w:pPr>
              <w:pStyle w:val="2"/>
              <w:keepNext w:val="0"/>
              <w:keepLines w:val="0"/>
              <w:widowControl/>
              <w:suppressLineNumbers w:val="0"/>
              <w:ind w:left="0" w:firstLine="420"/>
              <w:jc w:val="center"/>
            </w:pPr>
            <w:r>
              <w:t xml:space="preserve">9 </w:t>
            </w:r>
          </w:p>
        </w:tc>
        <w:tc>
          <w:tcPr>
            <w:tcW w:w="2148" w:type="dxa"/>
            <w:shd w:val="clear"/>
            <w:vAlign w:val="center"/>
          </w:tcPr>
          <w:p>
            <w:pPr>
              <w:pStyle w:val="2"/>
              <w:keepNext w:val="0"/>
              <w:keepLines w:val="0"/>
              <w:widowControl/>
              <w:suppressLineNumbers w:val="0"/>
              <w:ind w:left="0" w:firstLine="420"/>
              <w:jc w:val="center"/>
            </w:pPr>
            <w:r>
              <w:t xml:space="preserve">41080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2484" w:type="dxa"/>
            <w:shd w:val="clear"/>
            <w:vAlign w:val="center"/>
          </w:tcPr>
          <w:p>
            <w:pPr>
              <w:pStyle w:val="2"/>
              <w:keepNext w:val="0"/>
              <w:keepLines w:val="0"/>
              <w:widowControl/>
              <w:suppressLineNumbers w:val="0"/>
              <w:ind w:left="0" w:firstLine="420"/>
            </w:pPr>
            <w:r>
              <w:t xml:space="preserve">（五）社会保障 </w:t>
            </w:r>
          </w:p>
        </w:tc>
        <w:tc>
          <w:tcPr>
            <w:tcW w:w="2328" w:type="dxa"/>
            <w:shd w:val="clear"/>
            <w:vAlign w:val="center"/>
          </w:tcPr>
          <w:p>
            <w:pPr>
              <w:pStyle w:val="2"/>
              <w:keepNext w:val="0"/>
              <w:keepLines w:val="0"/>
              <w:widowControl/>
              <w:suppressLineNumbers w:val="0"/>
              <w:ind w:left="0" w:firstLine="420"/>
              <w:jc w:val="center"/>
            </w:pPr>
            <w:r>
              <w:t xml:space="preserve">11 </w:t>
            </w:r>
          </w:p>
        </w:tc>
        <w:tc>
          <w:tcPr>
            <w:tcW w:w="2148" w:type="dxa"/>
            <w:shd w:val="clear"/>
            <w:vAlign w:val="center"/>
          </w:tcPr>
          <w:p>
            <w:pPr>
              <w:pStyle w:val="2"/>
              <w:keepNext w:val="0"/>
              <w:keepLines w:val="0"/>
              <w:widowControl/>
              <w:suppressLineNumbers w:val="0"/>
              <w:ind w:left="0" w:firstLine="420"/>
              <w:jc w:val="center"/>
            </w:pPr>
            <w:r>
              <w:t xml:space="preserve">23250 </w:t>
            </w:r>
          </w:p>
        </w:tc>
      </w:tr>
    </w:tbl>
    <w:p>
      <w:pPr>
        <w:pStyle w:val="2"/>
        <w:keepNext w:val="0"/>
        <w:keepLines w:val="0"/>
        <w:widowControl/>
        <w:suppressLineNumbers w:val="0"/>
        <w:ind w:left="0" w:firstLine="420"/>
        <w:jc w:val="center"/>
      </w:pPr>
      <w:r>
        <w:t xml:space="preserve">四、优化提升营商环境 </w:t>
      </w:r>
    </w:p>
    <w:p>
      <w:pPr>
        <w:pStyle w:val="2"/>
        <w:keepNext w:val="0"/>
        <w:keepLines w:val="0"/>
        <w:widowControl/>
        <w:suppressLineNumbers w:val="0"/>
        <w:ind w:left="0" w:firstLine="420"/>
        <w:jc w:val="both"/>
      </w:pPr>
      <w:r>
        <w:t xml:space="preserve">贯彻落实中省市优化营商环境决策部署，以争创“零投诉”营商环境为统领，以《优化营商环境条例》为指南，全面推进县镇两级政务服务平台互联互通，有序推进工程建设项目审批制度改革。以简化企业开办和注销程序，施工许可证办理，企业获得水电气暖，不动产登记，降低企业获得信贷难度和成本，企业纳税服务，降低企业运行成本等方面为重点，补齐差距短板，提高“互联网+政务服务”“大数据+政务服务”应用水平，提升政府服务效能，打通惠企纾困“最后一公里”，打造稳定、公平、透明、可预期的营商环境。 </w:t>
      </w:r>
    </w:p>
    <w:p>
      <w:pPr>
        <w:pStyle w:val="2"/>
        <w:keepNext w:val="0"/>
        <w:keepLines w:val="0"/>
        <w:widowControl/>
        <w:suppressLineNumbers w:val="0"/>
        <w:ind w:left="0" w:firstLine="420"/>
        <w:jc w:val="center"/>
      </w:pPr>
      <w:r>
        <w:t xml:space="preserve">第五章  全面推进乡村振兴战略 </w:t>
      </w:r>
    </w:p>
    <w:p>
      <w:pPr>
        <w:pStyle w:val="2"/>
        <w:keepNext w:val="0"/>
        <w:keepLines w:val="0"/>
        <w:widowControl/>
        <w:suppressLineNumbers w:val="0"/>
        <w:ind w:left="0" w:firstLine="420"/>
        <w:jc w:val="both"/>
      </w:pPr>
      <w:r>
        <w:t xml:space="preserve">坚持以全面推进乡村振兴，加快农业农村现代化为目标，巩固脱贫攻坚成果，实施乡村振兴战略，强化以工补农、以城带乡，调结构，优布局，促改革，推动形成工农互促、城乡互补、协调发展、共同繁荣的新型工农城乡关系，奋力实现农业强农村美农民富。 </w:t>
      </w:r>
    </w:p>
    <w:p>
      <w:pPr>
        <w:pStyle w:val="2"/>
        <w:keepNext w:val="0"/>
        <w:keepLines w:val="0"/>
        <w:widowControl/>
        <w:suppressLineNumbers w:val="0"/>
        <w:ind w:left="0" w:firstLine="420"/>
        <w:jc w:val="both"/>
      </w:pPr>
      <w:r>
        <w:t xml:space="preserve">一、巩固拓展脱贫成果 </w:t>
      </w:r>
    </w:p>
    <w:p>
      <w:pPr>
        <w:pStyle w:val="2"/>
        <w:keepNext w:val="0"/>
        <w:keepLines w:val="0"/>
        <w:widowControl/>
        <w:suppressLineNumbers w:val="0"/>
        <w:ind w:left="0" w:firstLine="420"/>
        <w:jc w:val="both"/>
      </w:pPr>
      <w:r>
        <w:t xml:space="preserve">坚持帮扶政策不变、帮扶力度不减、包抓责任不松，建立解决相对贫困长效机制，全面落实产业帮扶、就业帮扶、苏陕协作、中行定点帮扶、兜底保障等举措，不断巩固拓展脱贫攻坚成果。以“县有主导产业、镇有产业基地、村有合作社、户有脱贫项目”为抓手，抓好带贫益贫主体扶持培育，将贫困群众牢牢嵌入产业链和利益链。加大脱贫人口职业技能、创业培训，规范公益岗位管理，广泛搭建用工平台，促进贫困劳动力转移就业创业和弱劳动力、半劳动力家庭就近就地就业。强化易地扶贫搬迁后续扶持，落实“1+7”后续帮扶措施。加强苏陕扶贫协作，引导国企合力团、高校等各类优质资源下沉，提高社会帮扶效果。用好公益中行等平台，汇聚消费扶贫合力。强化低保、医疗、养老保险和特困人员救助供养等综合性社会保障措施，落实健康扶贫、残疾人补贴、自然灾害救助、临时救助等帮扶政策，保障贫困群众基本生活。保持财政投入力度总体稳定，加强扶贫项目管理，确保资金资产持续发挥效益。建立健全防止返贫监测和帮扶机制，聚焦收入变化和“两不愁三保障”，早发现、早介入，实现贫困人口动态清零，推进脱贫攻坚与乡村振兴有效衔接。 </w:t>
      </w:r>
    </w:p>
    <w:p>
      <w:pPr>
        <w:pStyle w:val="2"/>
        <w:keepNext w:val="0"/>
        <w:keepLines w:val="0"/>
        <w:widowControl/>
        <w:suppressLineNumbers w:val="0"/>
        <w:ind w:left="0" w:firstLine="420"/>
        <w:jc w:val="both"/>
      </w:pPr>
      <w:r>
        <w:t xml:space="preserve">二、加快优势产业升级 </w:t>
      </w:r>
    </w:p>
    <w:p>
      <w:pPr>
        <w:pStyle w:val="2"/>
        <w:keepNext w:val="0"/>
        <w:keepLines w:val="0"/>
        <w:widowControl/>
        <w:suppressLineNumbers w:val="0"/>
        <w:ind w:left="0" w:firstLine="420"/>
        <w:jc w:val="both"/>
      </w:pPr>
      <w:r>
        <w:t xml:space="preserve">以农业供给侧结构性改革、培育农村发展新动能为主线，构建现代农业产业体系、生产体系、经营体系，拓展农业发展空间，推动农业农村发展提质增效，实现农业增产、农村增值、农民增收。 </w:t>
      </w:r>
    </w:p>
    <w:p>
      <w:pPr>
        <w:pStyle w:val="2"/>
        <w:keepNext w:val="0"/>
        <w:keepLines w:val="0"/>
        <w:widowControl/>
        <w:suppressLineNumbers w:val="0"/>
        <w:ind w:left="0" w:firstLine="420"/>
        <w:jc w:val="both"/>
      </w:pPr>
      <w:r>
        <w:t xml:space="preserve">——推动农村产业融合发展。拉长农业产业链，拓宽农业产业幅，提升农业价值链，完善农业利益链，促进农业接二连三、跨二进三。发挥龙头企业示范带动作用，推进农业与工业、服务业深度融合。深入推进实施电子商务进农村综合示范县建设，鼓励大型电商企业建设涉农电子商务平台。实施休闲农业和乡村旅游精品工程，打造一批田园观光类、民俗风情类、农业体验类、民宿度假类等特色鲜明的旅游名村和主题园区。培育和发展农产品精深加工产业，支持现有农产品加工企业实施扩能技改工程，研发新产品、新技术、新工艺，提高加工能力、产品档次和生产经营效益。完善扶持政策，吸引省内外知名涉农企业直接投资或通过参股、兼并、合作、租赁等形式与县内企业开展合作，着力构建果蔬加工、粮食加工、果品贮藏营销“三大集群”。统筹规划农产品流通设施布局，大力推行农超对接、农社对接、农校对接等直采直销方式。积极引进面粉、果蔬、食品等加工企业，促进果醋、果干、果酒等深加工及配套物资生产、果蔬气调库、农产品冷链物流配送等项目落地，带动贮藏包装、生产加工、仓储物流、冷链运输等关联产业，形成“生产有基地、营销有组织、流通有市场”的完整产业链。到2025年，市级以上农业产业化龙头企业达到20家。 </w:t>
      </w:r>
    </w:p>
    <w:p>
      <w:pPr>
        <w:pStyle w:val="2"/>
        <w:keepNext w:val="0"/>
        <w:keepLines w:val="0"/>
        <w:widowControl/>
        <w:suppressLineNumbers w:val="0"/>
        <w:ind w:left="0" w:firstLine="420"/>
        <w:jc w:val="both"/>
      </w:pPr>
      <w:r>
        <w:t xml:space="preserve">——壮大新型农业经营主体。加快农村土地流转，推动农业规模经营，培育新型农业经营主体，构建以龙头企业为骨干、以农民专业合作社为纽带、以家庭农场和专业种养大户为基础，多种生产经营主体共存的新型农业经营格局。规范农民专业合作社发展，优化管理章程和运行机制，支持发展农产品加工和流通产业，增强带动功能。在财政补贴、用地指标、金融支持、税收、人员培训等方面出台政策，提高财政资金投向符合条件的合作社、家庭农场、农业园区的比重，推动农村生产要素潜能加速释放，农业劳动生产率、土地产出率、资源利用率显著提高。到2025年，培育家庭农场20家，创建市级以上农民专业合作社示范社30家，建成省市级园区30个以上。 </w:t>
      </w:r>
    </w:p>
    <w:p>
      <w:pPr>
        <w:pStyle w:val="2"/>
        <w:keepNext w:val="0"/>
        <w:keepLines w:val="0"/>
        <w:widowControl/>
        <w:suppressLineNumbers w:val="0"/>
        <w:ind w:left="0" w:firstLine="420"/>
        <w:jc w:val="both"/>
      </w:pPr>
      <w:r>
        <w:t xml:space="preserve">——大力培育特色农业品牌。坚持质量兴农，加快推动农业由增产导向转向提质导向。依托地处“陕西苹果”原产地地域保护区优势，积极开展农产品商标注册，统一商标，统一包装，打造“马栏红·长武苹果”等特色品牌。加大对拥有自主知识产权、自有品牌农产品企业支持力度，搭建线上和线下品牌农产品产销信息平台，通过采取奖补或免费服务等方式，引导市场主体通过品牌注册、培育、拓展、保护等手段，创建自身品牌，提升农产品价值。在大中城市开展特色农产品宣传推介活动，不断扩大品牌农产品销售范围和农业品牌的影响力。到2025年，打造5个知名农产品品牌，设立10个国内重点城市特色农产品直销店。 </w:t>
      </w:r>
    </w:p>
    <w:p>
      <w:pPr>
        <w:pStyle w:val="2"/>
        <w:keepNext w:val="0"/>
        <w:keepLines w:val="0"/>
        <w:widowControl/>
        <w:suppressLineNumbers w:val="0"/>
        <w:ind w:left="0" w:firstLine="420"/>
        <w:jc w:val="both"/>
      </w:pPr>
      <w:r>
        <w:t xml:space="preserve">——强化农业科技支撑。加快实施生物育种重大科技项目，科技改良推广保护现代农业种质资源与良种，推动小麦育种、苹果示范、畜牧养殖等现代农业技术团队建设，加强与高校及科研院所的沟通交流，吸引科研院所、高等院校成立示范基地，就地转化科技成果，培养地方人才。实施科技兴农战略，加大农业自主知识产权新品种的选育、繁育、试验、示范力度，优化农业品质结构，加快新品种更新换代。加强农业信息服务，利用互联网等先进网络和现代通讯手段，推进农业信息进村入户和经营应用，助力农业高质量发展。 </w:t>
      </w:r>
    </w:p>
    <w:p>
      <w:pPr>
        <w:pStyle w:val="2"/>
        <w:keepNext w:val="0"/>
        <w:keepLines w:val="0"/>
        <w:widowControl/>
        <w:suppressLineNumbers w:val="0"/>
        <w:ind w:left="0" w:firstLine="420"/>
        <w:jc w:val="both"/>
      </w:pPr>
      <w:r>
        <w:t xml:space="preserve">三、实施乡村建设行动 </w:t>
      </w:r>
    </w:p>
    <w:p>
      <w:pPr>
        <w:pStyle w:val="2"/>
        <w:keepNext w:val="0"/>
        <w:keepLines w:val="0"/>
        <w:widowControl/>
        <w:suppressLineNumbers w:val="0"/>
        <w:ind w:left="0" w:firstLine="420"/>
        <w:jc w:val="both"/>
      </w:pPr>
      <w:r>
        <w:t xml:space="preserve">有序开展“多规合一”实用性村庄规划，稳步推进乡村建设，积极争取国家乡村振兴重点帮扶县倾斜政策，着力补齐农村基础设施短板，推动城乡基本公共服务均等化，建设安居乐业的美丽家园。 </w:t>
      </w:r>
    </w:p>
    <w:p>
      <w:pPr>
        <w:pStyle w:val="2"/>
        <w:keepNext w:val="0"/>
        <w:keepLines w:val="0"/>
        <w:widowControl/>
        <w:suppressLineNumbers w:val="0"/>
        <w:ind w:left="0" w:firstLine="420"/>
        <w:jc w:val="both"/>
      </w:pPr>
      <w:r>
        <w:t xml:space="preserve">——提高农村基础设施和公共服务水平。巩固全省“四好农村路”示范县成果，实施县乡公路改建、通村通组道路建设、安全生命防护等工程。加大财政投入力度，强化农村公路管护。实施农村饮水安全巩固提升工程，稳步提升农村饮水安全水平。加快“气化农村”步伐。推进新一轮农村电网改造升级。实施数字乡村工程，实现所有行政村光纤全覆盖。提升气象为农服务能力，加强农村防灾减灾救灾能力建设。以社会保障城乡并轨、社会事业城乡均衡、社会管理城乡一体为主要内容，建成覆盖城乡、功能完善、分布合理、管理有效、水平适度的公共服务体系。 </w:t>
      </w:r>
    </w:p>
    <w:p>
      <w:pPr>
        <w:pStyle w:val="2"/>
        <w:keepNext w:val="0"/>
        <w:keepLines w:val="0"/>
        <w:widowControl/>
        <w:suppressLineNumbers w:val="0"/>
        <w:ind w:left="0" w:firstLine="420"/>
        <w:jc w:val="both"/>
      </w:pPr>
      <w:r>
        <w:t xml:space="preserve">——深化农村人居环境整治。顺应产业生态化和生态产业化发展趋势，加快推进农作物秸秆综合利用、粮改饲、有机肥代替等工作，促进农业废弃物资源化利用，实现绿色循环发展。以“一控两减三基本”为目标，扎实开展水、大气、土壤污染防治，大力推广节地、节肥、节药、节种技术，实现农业生态环境融合互促。分类推进农村厕所革命，持续推进粪污无害化处置、农村生活垃圾分类处理、生活污水处理和村容村貌提升等工作，建立健全农村人居环境整治长效机制，健全农村人居环境设施管护机制，切实提升农村环境质量。 </w:t>
      </w:r>
    </w:p>
    <w:p>
      <w:pPr>
        <w:pStyle w:val="2"/>
        <w:keepNext w:val="0"/>
        <w:keepLines w:val="0"/>
        <w:widowControl/>
        <w:suppressLineNumbers w:val="0"/>
        <w:ind w:left="0" w:firstLine="420"/>
        <w:jc w:val="both"/>
      </w:pPr>
      <w:r>
        <w:t xml:space="preserve">——大力推进美丽乡村建设。注重规划先行，突出分类指导。根据村庄演变规律、现状分布和自然本底，结合农民生产生活半径，科学确定村庄布局和规模，稳步推进撤村并点。按照“一村一主题、一村一特色”要求，充分挖掘村庄的人文、山水等特色资源禀赋，以彰显地域特色和乡愁记忆为核心，加强历史名村、传统村落的开发和保护。建设山清水秀、宜养宜居的美丽乡村。到2025年，建成美丽宜居示范村40个，新型社区7个。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专栏5-1  美丽乡村重点建设项目 </w:t>
            </w:r>
          </w:p>
          <w:p>
            <w:pPr>
              <w:pStyle w:val="2"/>
              <w:keepNext w:val="0"/>
              <w:keepLines w:val="0"/>
              <w:widowControl/>
              <w:suppressLineNumbers w:val="0"/>
              <w:ind w:left="0" w:firstLine="420"/>
            </w:pPr>
            <w:r>
              <w:t xml:space="preserve">美丽宜居示范村建设、移民新村建设、压煤区搬迁、采空区搬迁、彭公镇浅水塬新型农村社区建设、村庄公共基础设施、农村生活垃圾分类、“厕所革命”工程、农村环境综合整治、农村道路升等改造、农村生活污水治理管控、森林乡村建设 </w:t>
            </w:r>
          </w:p>
        </w:tc>
      </w:tr>
    </w:tbl>
    <w:p>
      <w:pPr>
        <w:pStyle w:val="2"/>
        <w:keepNext w:val="0"/>
        <w:keepLines w:val="0"/>
        <w:widowControl/>
        <w:suppressLineNumbers w:val="0"/>
        <w:ind w:left="0" w:firstLine="420"/>
        <w:jc w:val="both"/>
      </w:pPr>
      <w:r>
        <w:t xml:space="preserve">四、推动乡村文化振兴 </w:t>
      </w:r>
    </w:p>
    <w:p>
      <w:pPr>
        <w:pStyle w:val="2"/>
        <w:keepNext w:val="0"/>
        <w:keepLines w:val="0"/>
        <w:widowControl/>
        <w:suppressLineNumbers w:val="0"/>
        <w:ind w:left="0" w:firstLine="420"/>
        <w:jc w:val="both"/>
      </w:pPr>
      <w:r>
        <w:t xml:space="preserve">大力弘扬社会主义核心价值观，以农民群众喜闻乐见的方式，深入开展习近平新时代中国特色社会主义思想学习教育，推进社会公德、职业道德、家庭美德和个人品德建设，积极开展“长武好人”评选活动，推崇尊老爱幼、助人为乐、文明礼貌、爱护环境等优良传统。强化村规民约和家庭、家教、家风建设，广泛开展“文明村镇”“文明家庭”“四讲一改”（讲文明、讲科学、讲卫生、讲法制、改陋习）等活动，重点加强对婚丧嫁娶等民间习俗的教育引导，打造一批孝心村、和谐村、生态文明村、移风易俗村、兴业富民村等示范典型。扎实推进镇村综合文化中心建设，组织开展形式多样的农村文化艺术表演活动，鼓励引导群众“自创自办、自编自演、自娱自乐”。深入挖掘文化潜能和产业张力，系统整理农耕文化、先周文化、古丝路文化、红色文化等文化资源，扶持文化产业，支持文化创作，推动“文化+”模式发展，全面凝聚乡村振兴正能量。 </w:t>
      </w:r>
    </w:p>
    <w:p>
      <w:pPr>
        <w:pStyle w:val="2"/>
        <w:keepNext w:val="0"/>
        <w:keepLines w:val="0"/>
        <w:widowControl/>
        <w:suppressLineNumbers w:val="0"/>
        <w:ind w:left="0" w:firstLine="420"/>
        <w:jc w:val="both"/>
      </w:pPr>
      <w:r>
        <w:t xml:space="preserve">五、推进乡村和谐发展 </w:t>
      </w:r>
    </w:p>
    <w:p>
      <w:pPr>
        <w:pStyle w:val="2"/>
        <w:keepNext w:val="0"/>
        <w:keepLines w:val="0"/>
        <w:widowControl/>
        <w:suppressLineNumbers w:val="0"/>
        <w:ind w:left="0" w:firstLine="420"/>
        <w:jc w:val="both"/>
      </w:pPr>
      <w:r>
        <w:t xml:space="preserve">深入贯彻《中国共产党农村工作条例》，按照“全方位、全覆盖、全流程”要求，加快构建“大党建统领、大联动治理、大数据应用、大融合推进”乡村基层治理新模式，落实五级书记抓乡村振兴的工作机制。实施农村领头雁工程，加强农村基层党组织建设，推行村干部职业化管理，定期开展县乡村三级党组织书记乡村振兴轮训。不断优化农村人才培养和引进环境，吸引德才兼备的“能人”回归，培养一批有文化、懂技术、会经营的新型职业农民、乡村工匠、文化人才和非遗传承人等，为乡村振兴提供“源头活水”。实施村级事务阳光工程，依托村民会议、村民代表会议、村民议事会、村民理事会、村民监事会等，形成民事民议、民事民办、民事民管的基层协商治理格局。实施乡村德治工程，完善推行“自治、法治、德治”相结合的联动体系，强化社会道德激励约束。推进农村“雪亮工程”，加快乡村综治中心标准化建设，创建一批法治示范村、道德模范村、信息化达标村，推动乡村和谐发展。 </w:t>
      </w:r>
    </w:p>
    <w:p>
      <w:pPr>
        <w:pStyle w:val="2"/>
        <w:keepNext w:val="0"/>
        <w:keepLines w:val="0"/>
        <w:widowControl/>
        <w:suppressLineNumbers w:val="0"/>
        <w:ind w:left="0" w:firstLine="420"/>
        <w:jc w:val="both"/>
      </w:pPr>
      <w:r>
        <w:t xml:space="preserve">六、实现群众生活富裕 </w:t>
      </w:r>
    </w:p>
    <w:p>
      <w:pPr>
        <w:pStyle w:val="2"/>
        <w:keepNext w:val="0"/>
        <w:keepLines w:val="0"/>
        <w:widowControl/>
        <w:suppressLineNumbers w:val="0"/>
        <w:ind w:left="0" w:firstLine="420"/>
        <w:jc w:val="both"/>
      </w:pPr>
      <w:r>
        <w:t xml:space="preserve">以保障农民增收为核心，以“千村万户”增收计划为抓手，深入实施“六项”强基工程，推动农业提质增效，促进农民增收致富。以壮大村级集体经济为突破口，盘活农村闲置资产，通过党支部联建、村集体联合、产业联盟联动等合作模式，推进农村股份经济合作，增加村级集体收入。扶持农村新型经营主体，通过产业、就业、入股、托管等方式，统筹兼顾三次分配，提高群众工资性收入、经营性收入、转移性收入和财产性收入。引导支持农民创新创业、就近就业，通过发展特色产业致富、参与生态修复致富、投身创新创业致富，实现群众稳步增收。到2025年，城乡居民人均可支配收入分别达到49845元、16559元。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8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852" w:type="dxa"/>
            <w:shd w:val="clear"/>
            <w:vAlign w:val="top"/>
          </w:tcPr>
          <w:p>
            <w:pPr>
              <w:pStyle w:val="2"/>
              <w:keepNext w:val="0"/>
              <w:keepLines w:val="0"/>
              <w:widowControl/>
              <w:suppressLineNumbers w:val="0"/>
              <w:ind w:left="0" w:firstLine="420"/>
              <w:jc w:val="center"/>
            </w:pPr>
            <w:r>
              <w:t xml:space="preserve">专栏5-2  “六项”强基工程 </w:t>
            </w:r>
          </w:p>
          <w:p>
            <w:pPr>
              <w:pStyle w:val="2"/>
              <w:keepNext w:val="0"/>
              <w:keepLines w:val="0"/>
              <w:widowControl/>
              <w:suppressLineNumbers w:val="0"/>
              <w:ind w:left="0" w:firstLine="420"/>
            </w:pPr>
            <w:r>
              <w:t xml:space="preserve">粮食单产提高工程：粮食总产稳定在5.2万吨以上，良种普及率达到100%。 </w:t>
            </w:r>
          </w:p>
          <w:p>
            <w:pPr>
              <w:pStyle w:val="2"/>
              <w:keepNext w:val="0"/>
              <w:keepLines w:val="0"/>
              <w:widowControl/>
              <w:suppressLineNumbers w:val="0"/>
              <w:ind w:left="0" w:firstLine="420"/>
            </w:pPr>
            <w:r>
              <w:t xml:space="preserve">苹果产业提振工程：苹果面积稳定在27万亩，实现产值18亿元。 </w:t>
            </w:r>
          </w:p>
          <w:p>
            <w:pPr>
              <w:pStyle w:val="2"/>
              <w:keepNext w:val="0"/>
              <w:keepLines w:val="0"/>
              <w:widowControl/>
              <w:suppressLineNumbers w:val="0"/>
              <w:ind w:left="0" w:firstLine="420"/>
            </w:pPr>
            <w:r>
              <w:t xml:space="preserve">畜牧收入倍增工程：新增千头以上生猪规模养殖场10个，生猪存栏达到15万头，畜牧业产值达到5.2亿元。 </w:t>
            </w:r>
          </w:p>
          <w:p>
            <w:pPr>
              <w:pStyle w:val="2"/>
              <w:keepNext w:val="0"/>
              <w:keepLines w:val="0"/>
              <w:widowControl/>
              <w:suppressLineNumbers w:val="0"/>
              <w:ind w:left="0" w:firstLine="420"/>
            </w:pPr>
            <w:r>
              <w:t xml:space="preserve">设施蔬菜提质工程：蔬菜种植面积达到2.8万亩以上，总产达到5.6万吨，实现产值7500万元。 </w:t>
            </w:r>
          </w:p>
          <w:p>
            <w:pPr>
              <w:pStyle w:val="2"/>
              <w:keepNext w:val="0"/>
              <w:keepLines w:val="0"/>
              <w:widowControl/>
              <w:suppressLineNumbers w:val="0"/>
              <w:ind w:left="0" w:firstLine="420"/>
            </w:pPr>
            <w:r>
              <w:t xml:space="preserve">杂果产业增效工程：发展优质杂果经济林3万亩以上。 </w:t>
            </w:r>
          </w:p>
          <w:p>
            <w:pPr>
              <w:pStyle w:val="2"/>
              <w:keepNext w:val="0"/>
              <w:keepLines w:val="0"/>
              <w:widowControl/>
              <w:suppressLineNumbers w:val="0"/>
              <w:ind w:left="0" w:firstLine="420"/>
            </w:pPr>
            <w:r>
              <w:t xml:space="preserve">职业农民培育工程：年培训农村劳动力1.5万人（次），劳务输出稳定在3万人（次）以上。 </w:t>
            </w:r>
          </w:p>
        </w:tc>
      </w:tr>
    </w:tbl>
    <w:p>
      <w:pPr>
        <w:pStyle w:val="2"/>
        <w:keepNext w:val="0"/>
        <w:keepLines w:val="0"/>
        <w:widowControl/>
        <w:suppressLineNumbers w:val="0"/>
        <w:ind w:left="0" w:firstLine="420"/>
        <w:jc w:val="center"/>
      </w:pPr>
      <w:r>
        <w:t xml:space="preserve">第六章  提升城乡融合发展质量 </w:t>
      </w:r>
    </w:p>
    <w:p>
      <w:pPr>
        <w:pStyle w:val="2"/>
        <w:keepNext w:val="0"/>
        <w:keepLines w:val="0"/>
        <w:widowControl/>
        <w:suppressLineNumbers w:val="0"/>
        <w:ind w:left="0" w:firstLine="420"/>
        <w:jc w:val="both"/>
      </w:pPr>
      <w:r>
        <w:t xml:space="preserve">按照“合理布局、产城融合、功能互补、系统发展”的理念，高起点规划、高标准建设、高效能管理，构建以县城为核心、重点镇为支撑、新型社区为基础的城乡融合发展体系，把长武建设成为经济活力迸发、人居环境优美、社会安全稳定的丝路经济带节点名城。到2025年，城镇化率达到45.5%。 </w:t>
      </w:r>
    </w:p>
    <w:p>
      <w:pPr>
        <w:pStyle w:val="2"/>
        <w:keepNext w:val="0"/>
        <w:keepLines w:val="0"/>
        <w:widowControl/>
        <w:suppressLineNumbers w:val="0"/>
        <w:ind w:left="0" w:firstLine="420"/>
        <w:jc w:val="both"/>
      </w:pPr>
      <w:r>
        <w:t xml:space="preserve">一、优化城乡建设布局 </w:t>
      </w:r>
    </w:p>
    <w:p>
      <w:pPr>
        <w:pStyle w:val="2"/>
        <w:keepNext w:val="0"/>
        <w:keepLines w:val="0"/>
        <w:widowControl/>
        <w:suppressLineNumbers w:val="0"/>
        <w:ind w:left="0" w:firstLine="420"/>
        <w:jc w:val="both"/>
      </w:pPr>
      <w:r>
        <w:t xml:space="preserve">坚持适度超前、统筹推进，拓展县域发展空间，加快城乡建设步伐，实施城市高品格配套、高品格绿化、高品格美化工程，联动城市功能板块，缝合补齐城区空间，传承历史文化、彰显城市底蕴、提升城市品质，加快构建“布局合理、分工明确、功能互补、城乡互动”的三级城镇体系，着力打造“一体两翼三支撑”的县域城镇空间发展格局。到2025年，县城建成区面积达到15平方公里，人口规模达到8万人，人均道路面积达到19.65平方米。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专栏6-1  一体两翼三支撑 </w:t>
            </w:r>
          </w:p>
          <w:p>
            <w:pPr>
              <w:pStyle w:val="2"/>
              <w:keepNext w:val="0"/>
              <w:keepLines w:val="0"/>
              <w:widowControl/>
              <w:suppressLineNumbers w:val="0"/>
              <w:ind w:left="0" w:firstLine="420"/>
            </w:pPr>
            <w:r>
              <w:t xml:space="preserve">以312国道沿线的城镇作为县域城镇发展的主体区，以巨家-枣园为南翼，以相公-彭公为北翼，形成“主体进、两翼促”，主体区与南北两翼协调共进的发展态势。以中心城区作为县域城镇发展主体区的支撑，以巨家和相公作为南北两翼的重要支撑，凸显一体、强化两翼，助力中心城区腾飞，带动片区发展。 </w:t>
            </w:r>
          </w:p>
        </w:tc>
      </w:tr>
    </w:tbl>
    <w:p>
      <w:pPr>
        <w:pStyle w:val="2"/>
        <w:keepNext w:val="0"/>
        <w:keepLines w:val="0"/>
        <w:widowControl/>
        <w:suppressLineNumbers w:val="0"/>
        <w:ind w:left="0" w:firstLine="420"/>
        <w:jc w:val="center"/>
      </w:pPr>
      <w:r>
        <w:t xml:space="preserve">图8  城镇空间发展格局图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9525000" cy="13458825"/>
            <wp:effectExtent l="0" t="0" r="0" b="1333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9525000" cy="13458825"/>
                    </a:xfrm>
                    <a:prstGeom prst="rect">
                      <a:avLst/>
                    </a:prstGeom>
                    <a:noFill/>
                    <a:ln w="9525">
                      <a:noFill/>
                    </a:ln>
                  </pic:spPr>
                </pic:pic>
              </a:graphicData>
            </a:graphic>
          </wp:inline>
        </w:drawing>
      </w:r>
    </w:p>
    <w:p>
      <w:pPr>
        <w:pStyle w:val="2"/>
        <w:keepNext w:val="0"/>
        <w:keepLines w:val="0"/>
        <w:widowControl/>
        <w:suppressLineNumbers w:val="0"/>
        <w:ind w:left="0" w:firstLine="420"/>
        <w:jc w:val="both"/>
      </w:pPr>
      <w:r>
        <w:t xml:space="preserve">二、完善城市服务功能 </w:t>
      </w:r>
    </w:p>
    <w:p>
      <w:pPr>
        <w:pStyle w:val="2"/>
        <w:keepNext w:val="0"/>
        <w:keepLines w:val="0"/>
        <w:widowControl/>
        <w:suppressLineNumbers w:val="0"/>
        <w:ind w:left="0" w:firstLine="420"/>
        <w:jc w:val="both"/>
      </w:pPr>
      <w:r>
        <w:t xml:space="preserve">按照“东改、西拓、北进”的思路，拉大城市框架，完善城市功能，提高城市品位。坚持规划先行、协同推进，继续实施育才路等棚户区改造，实施建筑垃圾填埋场、第二污水处理厂、第二生活垃圾中转站等项目，下大力气解决老城区沿街居民供暖、便民市场、公共厕所、停车位等问题，不断提升城市综合承载能力。全面提升供电、供气、供水、供暖、通信、网络、新能源充电桩等基础设施，让城市更加精致精美、宜居宜业。坚持“房住不炒”原则，实施老旧小区改造项目，加快新建小区和配套设施建设步伐，建立多主体供给、多渠道保障、租购并举的住房制度。加快推进新型建筑工业化发展，提高建造水平和建筑品质。到2025年，天然气入户率达到99.8%，污水集中处理率达到90%，生活垃圾无害化处理率达到95%。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专栏6-2  市政基础设施和城市配套重点项目 </w:t>
            </w:r>
          </w:p>
          <w:p>
            <w:pPr>
              <w:pStyle w:val="2"/>
              <w:keepNext w:val="0"/>
              <w:keepLines w:val="0"/>
              <w:widowControl/>
              <w:suppressLineNumbers w:val="0"/>
              <w:ind w:left="0" w:firstLine="420"/>
            </w:pPr>
            <w:r>
              <w:t xml:space="preserve">环城东路、长兴东路、城区雨污分流、蒙恬路北段、陶谷南路延伸、景清北路、城区防洪排涝、发电厂热源利用、第二污水处理厂、城区生活垃圾分类设施、停车场、天然气LNG调峰站加气站、天然气管道铺设、第二生活垃圾中转站、建筑垃圾填埋场、便民市场、新老城区公厕、园区道路、北大街西南角广场、六路口交通洞加固除险、商住小区建设、老旧小区改造、人防工程、商务酒店 </w:t>
            </w:r>
          </w:p>
        </w:tc>
      </w:tr>
    </w:tbl>
    <w:p>
      <w:pPr>
        <w:pStyle w:val="2"/>
        <w:keepNext w:val="0"/>
        <w:keepLines w:val="0"/>
        <w:widowControl/>
        <w:suppressLineNumbers w:val="0"/>
        <w:ind w:left="0" w:firstLine="420"/>
        <w:jc w:val="both"/>
      </w:pPr>
      <w:r>
        <w:t xml:space="preserve">三、提升城镇带动能力 </w:t>
      </w:r>
    </w:p>
    <w:p>
      <w:pPr>
        <w:pStyle w:val="2"/>
        <w:keepNext w:val="0"/>
        <w:keepLines w:val="0"/>
        <w:widowControl/>
        <w:suppressLineNumbers w:val="0"/>
        <w:ind w:left="0" w:firstLine="420"/>
        <w:jc w:val="both"/>
      </w:pPr>
      <w:r>
        <w:t xml:space="preserve">坚持以人的城镇化为核心，围绕“明确定位、彰显特色、优化布局、多方融资”的思路，集中力量建设工业、商贸、人文、生态、休闲等新型城镇，形成错位发展、功能互补、产业共兴的城镇发展体系。以亭口、丁家国家级重点镇建设为龙头，推进综合示范区和“优美小镇”建设。升等改造城镇水、电、路、讯、气、网等基础设施，实施硬化、绿化、亮化、美化等工程，完善环境卫生监管治理网络，做强“一镇一业、一村一品”特色优势，补足功能短板，强化产业支撑，让镇区形象更美、功能更优、品位更高、实力更强。深入推进公共服务设施向镇区延伸，农民居住向城镇和新型社区集中，用足用好煤矿采空区群众搬迁等政策，实施集中安置工程，适度开发商住小区，加快城镇人口集中、产业集聚、功能集成、要素集约，提升城镇发展承载力和带动力。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专栏6-3  城镇建设重点项目 </w:t>
            </w:r>
          </w:p>
          <w:p>
            <w:pPr>
              <w:pStyle w:val="2"/>
              <w:keepNext w:val="0"/>
              <w:keepLines w:val="0"/>
              <w:widowControl/>
              <w:suppressLineNumbers w:val="0"/>
              <w:ind w:left="0" w:firstLine="420"/>
            </w:pPr>
            <w:r>
              <w:t xml:space="preserve">镇区污水处理、镇区垃圾处理、镇区市政道路、镇区雨污管道、镇区停车场、镇区农贸市场、镇区供暖、镇区应急避难广场、镇区便民服务站 </w:t>
            </w:r>
          </w:p>
        </w:tc>
      </w:tr>
    </w:tbl>
    <w:p>
      <w:pPr>
        <w:pStyle w:val="2"/>
        <w:keepNext w:val="0"/>
        <w:keepLines w:val="0"/>
        <w:widowControl/>
        <w:suppressLineNumbers w:val="0"/>
        <w:ind w:left="0" w:firstLine="420"/>
        <w:jc w:val="both"/>
      </w:pPr>
      <w:r>
        <w:t xml:space="preserve">四、加强城镇精细管理 </w:t>
      </w:r>
    </w:p>
    <w:p>
      <w:pPr>
        <w:pStyle w:val="2"/>
        <w:keepNext w:val="0"/>
        <w:keepLines w:val="0"/>
        <w:widowControl/>
        <w:suppressLineNumbers w:val="0"/>
        <w:ind w:left="0" w:firstLine="420"/>
        <w:jc w:val="both"/>
      </w:pPr>
      <w:r>
        <w:t xml:space="preserve">加强城镇控边和空间开发利用管控，确保集镇、行政村规划全覆盖。依托数字化城管平台，健全城镇管理体制机制，建立感知、分析、服务、指挥、监察“五位一体”的智慧城市管理框架，对城镇市容环境实施网格化管理，推动城镇管理科学化、集约化、精细化。加快城市服务体系智能化建设，延伸服务领域和覆盖范围，推动智慧民生、智慧旅游、智慧医疗、智慧城管平台建设，创建“智慧长武”城镇管理品牌。加快县社区服务中心、镇社区服务中心、居委会社会综合服务站三级网络建设，优化城镇社会运行秩序，加速实现城市综合管理信息化、集约化和智能化。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专栏6-4  智慧城市管理重点项目 </w:t>
            </w:r>
          </w:p>
          <w:p>
            <w:pPr>
              <w:pStyle w:val="2"/>
              <w:keepNext w:val="0"/>
              <w:keepLines w:val="0"/>
              <w:widowControl/>
              <w:suppressLineNumbers w:val="0"/>
              <w:ind w:left="0" w:firstLine="420"/>
            </w:pPr>
            <w:r>
              <w:t xml:space="preserve">“雪亮工程”、智慧长武“城市大脑”建设、智慧城管建设、智慧应急建设、城区电子警察系统升级优化 </w:t>
            </w:r>
          </w:p>
        </w:tc>
      </w:tr>
    </w:tbl>
    <w:p>
      <w:pPr>
        <w:pStyle w:val="2"/>
        <w:keepNext w:val="0"/>
        <w:keepLines w:val="0"/>
        <w:widowControl/>
        <w:suppressLineNumbers w:val="0"/>
        <w:ind w:left="0" w:firstLine="420"/>
        <w:jc w:val="both"/>
      </w:pPr>
      <w:r>
        <w:t xml:space="preserve">五、推进城乡融合发展 </w:t>
      </w:r>
    </w:p>
    <w:p>
      <w:pPr>
        <w:pStyle w:val="2"/>
        <w:keepNext w:val="0"/>
        <w:keepLines w:val="0"/>
        <w:widowControl/>
        <w:suppressLineNumbers w:val="0"/>
        <w:ind w:left="0" w:firstLine="420"/>
        <w:jc w:val="both"/>
      </w:pPr>
      <w:r>
        <w:t xml:space="preserve">按照“区域协同、城乡融合、约束有效、资源环境可承载”要求，以实施乡村振兴战略为引领，补齐公共服务短板，提升乡村风貌，推动城乡产业深度融合、基础设施互联互通、公共服务普惠共享。引导农副产品加工向县城、重点镇和专业园区集聚发展，因地制宜发展特色优势产业，以镇带村，以村促镇，以产业推动镇村联动发展。深化户籍制度改革，实现农村人口有序转移，促进人口合理分布。以社会保障城乡并轨、社会事业城乡均衡、社会管理城乡一体为内容，建成覆盖城乡、功能完善、分布合理、管理有效、水平适度的现代城镇公共服务体系。 </w:t>
      </w:r>
    </w:p>
    <w:p>
      <w:pPr>
        <w:keepNext w:val="0"/>
        <w:keepLines w:val="0"/>
        <w:widowControl/>
        <w:suppressLineNumbers w:val="0"/>
        <w:jc w:val="center"/>
      </w:pPr>
      <w:r>
        <w:rPr>
          <w:rFonts w:ascii="宋体" w:hAnsi="宋体" w:eastAsia="宋体" w:cs="宋体"/>
          <w:kern w:val="0"/>
          <w:sz w:val="24"/>
          <w:szCs w:val="24"/>
          <w:lang w:val="en-US" w:eastAsia="zh-CN" w:bidi="ar"/>
        </w:rPr>
        <w:t xml:space="preserve">第七章  着力建设绿色生态长武 </w:t>
      </w:r>
    </w:p>
    <w:p>
      <w:pPr>
        <w:pStyle w:val="2"/>
        <w:keepNext w:val="0"/>
        <w:keepLines w:val="0"/>
        <w:widowControl/>
        <w:suppressLineNumbers w:val="0"/>
        <w:ind w:left="0" w:firstLine="420"/>
        <w:jc w:val="both"/>
      </w:pPr>
      <w:r>
        <w:t xml:space="preserve">坚持“生态立县”战略，坚决打好“四场保卫战”，大力发展循环经济、绿色经济，提升资源利用效率，促进重点行业和领域节能减排，提高生态保护和建设水平，为经济社会高质量发展提供良好的生态环境。 </w:t>
      </w:r>
    </w:p>
    <w:p>
      <w:pPr>
        <w:pStyle w:val="2"/>
        <w:keepNext w:val="0"/>
        <w:keepLines w:val="0"/>
        <w:widowControl/>
        <w:suppressLineNumbers w:val="0"/>
        <w:ind w:left="0" w:firstLine="420"/>
        <w:jc w:val="center"/>
      </w:pPr>
      <w:r>
        <w:t xml:space="preserve">一、优化区域生态结构 </w:t>
      </w:r>
    </w:p>
    <w:p>
      <w:pPr>
        <w:pStyle w:val="2"/>
        <w:keepNext w:val="0"/>
        <w:keepLines w:val="0"/>
        <w:widowControl/>
        <w:suppressLineNumbers w:val="0"/>
        <w:ind w:left="0" w:firstLine="420"/>
        <w:jc w:val="both"/>
      </w:pPr>
      <w:r>
        <w:t xml:space="preserve">按照“突出重点，打造亮点”原则，围绕“一轴、两廊、三区、四源、多点”的县域生态结构，加强生态资源保护和管理，加快生态林带建设，优化绿地规划布局，提升区域环境品质，凸显地域文化特色，实现人与自然和谐相处。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专栏7-1  生态结构 </w:t>
            </w:r>
          </w:p>
          <w:p>
            <w:pPr>
              <w:pStyle w:val="2"/>
              <w:keepNext w:val="0"/>
              <w:keepLines w:val="0"/>
              <w:widowControl/>
              <w:suppressLineNumbers w:val="0"/>
              <w:ind w:left="0" w:firstLine="420"/>
            </w:pPr>
            <w:r>
              <w:t xml:space="preserve">一轴：312国道和福银高速形成的城镇生态景观综合轴 </w:t>
            </w:r>
          </w:p>
          <w:p>
            <w:pPr>
              <w:pStyle w:val="2"/>
              <w:keepNext w:val="0"/>
              <w:keepLines w:val="0"/>
              <w:widowControl/>
              <w:suppressLineNumbers w:val="0"/>
              <w:ind w:left="0" w:firstLine="420"/>
            </w:pPr>
            <w:r>
              <w:t xml:space="preserve">两廊：泾磨（泾河-磨子河）滨水生态廊道、黑河滨水生态廊道及南河滨水生态廊道 </w:t>
            </w:r>
          </w:p>
          <w:p>
            <w:pPr>
              <w:pStyle w:val="2"/>
              <w:keepNext w:val="0"/>
              <w:keepLines w:val="0"/>
              <w:widowControl/>
              <w:suppressLineNumbers w:val="0"/>
              <w:ind w:left="0" w:firstLine="420"/>
            </w:pPr>
            <w:r>
              <w:t xml:space="preserve">三区：农业生态区、林业生态区、生态修复区 </w:t>
            </w:r>
          </w:p>
          <w:p>
            <w:pPr>
              <w:pStyle w:val="2"/>
              <w:keepNext w:val="0"/>
              <w:keepLines w:val="0"/>
              <w:widowControl/>
              <w:suppressLineNumbers w:val="0"/>
              <w:ind w:left="0" w:firstLine="420"/>
            </w:pPr>
            <w:r>
              <w:t xml:space="preserve">四源：马坊水库保护区、七里水库保护区、亭口水库保护区以及红星林场形成的县域重要生态源地 </w:t>
            </w:r>
          </w:p>
          <w:p>
            <w:pPr>
              <w:pStyle w:val="2"/>
              <w:keepNext w:val="0"/>
              <w:keepLines w:val="0"/>
              <w:widowControl/>
              <w:suppressLineNumbers w:val="0"/>
              <w:ind w:left="0" w:firstLine="420"/>
            </w:pPr>
            <w:r>
              <w:t xml:space="preserve">多点：县城、各镇（街道）组成的城镇人工生态节点 </w:t>
            </w:r>
          </w:p>
        </w:tc>
      </w:tr>
    </w:tbl>
    <w:p>
      <w:pPr>
        <w:pStyle w:val="2"/>
        <w:keepNext w:val="0"/>
        <w:keepLines w:val="0"/>
        <w:widowControl/>
        <w:suppressLineNumbers w:val="0"/>
        <w:ind w:left="0" w:firstLine="420"/>
        <w:jc w:val="both"/>
      </w:pPr>
      <w:r>
        <w:t xml:space="preserve">二、加大污染治理力度 </w:t>
      </w:r>
    </w:p>
    <w:p>
      <w:pPr>
        <w:pStyle w:val="2"/>
        <w:keepNext w:val="0"/>
        <w:keepLines w:val="0"/>
        <w:widowControl/>
        <w:suppressLineNumbers w:val="0"/>
        <w:ind w:left="0" w:firstLine="420"/>
        <w:jc w:val="both"/>
      </w:pPr>
      <w:r>
        <w:t xml:space="preserve">——打好蓝天保卫战。严格执行“大气十条”，完善PM2.5监测体系，加强重点用能企业能耗监管和挥发性有机物污染治理，基本实现达标排放。打造“绿色工地”，完善防尘设备，实现环保施工。扩大烟尘控制区和高污染燃料禁燃区，实施重 </w:t>
      </w:r>
    </w:p>
    <w:p>
      <w:pPr>
        <w:pStyle w:val="2"/>
        <w:keepNext w:val="0"/>
        <w:keepLines w:val="0"/>
        <w:widowControl/>
        <w:suppressLineNumbers w:val="0"/>
        <w:ind w:left="0" w:firstLine="420"/>
        <w:jc w:val="both"/>
      </w:pPr>
      <w:r>
        <w:t xml:space="preserve">点行业大气污染治理设施提标和清洁生产技术改造，推进“煤改气”“煤改电”等工程。杜绝垃圾、农业废弃物、秸秆露天焚烧。加强机动车管理，控制机动车尾气排放。持续开展“治污降霾·保卫蓝天”行动，落实治理措施，守护弥足珍贵的“长武蓝”。到2025年，空气质量优良天数达到285天以上，大气污染物氮氧化物、挥发性有机物排放总量持续减少，细颗粒物PM2.5浓度持续下降。 </w:t>
      </w:r>
    </w:p>
    <w:p>
      <w:pPr>
        <w:pStyle w:val="2"/>
        <w:keepNext w:val="0"/>
        <w:keepLines w:val="0"/>
        <w:widowControl/>
        <w:suppressLineNumbers w:val="0"/>
        <w:ind w:left="0" w:firstLine="420"/>
        <w:jc w:val="center"/>
      </w:pPr>
      <w:r>
        <w:t xml:space="preserve">图9  县域生态结构图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9525000" cy="13468350"/>
            <wp:effectExtent l="0" t="0" r="0" b="381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9525000" cy="13468350"/>
                    </a:xfrm>
                    <a:prstGeom prst="rect">
                      <a:avLst/>
                    </a:prstGeom>
                    <a:noFill/>
                    <a:ln w="9525">
                      <a:noFill/>
                    </a:ln>
                  </pic:spPr>
                </pic:pic>
              </a:graphicData>
            </a:graphic>
          </wp:inline>
        </w:drawing>
      </w:r>
    </w:p>
    <w:p>
      <w:pPr>
        <w:pStyle w:val="2"/>
        <w:keepNext w:val="0"/>
        <w:keepLines w:val="0"/>
        <w:widowControl/>
        <w:suppressLineNumbers w:val="0"/>
        <w:ind w:left="0" w:firstLine="420"/>
        <w:jc w:val="both"/>
      </w:pPr>
      <w:r>
        <w:t xml:space="preserve">打好碧水保卫战。严格落实“水十条”及县镇村三级河湖长制，开展河湖确权划界，持续维护河湖生态健康、保障水利工程良性运行。实施“一河一策”方案，严格管控泾河、黑河断面水质，加强水质监督监测，深化河网水环境综合整治，确保辖区水环境质量得到有效改善。建成重要支流泾河治理二期护岸工程。深化农村生活污水、工业污水、农业面源污染治理，强化污水集中处理系统建设，提高污水集中处理率和达标率。加强饮用水源地保护，加快水土流失治理，涵养清洁水源。到2025年，实现工业废水稳定达标排放。 </w:t>
      </w:r>
    </w:p>
    <w:p>
      <w:pPr>
        <w:pStyle w:val="2"/>
        <w:keepNext w:val="0"/>
        <w:keepLines w:val="0"/>
        <w:widowControl/>
        <w:suppressLineNumbers w:val="0"/>
        <w:ind w:left="0" w:firstLine="420"/>
        <w:jc w:val="both"/>
      </w:pPr>
      <w:r>
        <w:t xml:space="preserve">——打好青山保卫战。全面落实林业和生态保护相关政策，深入实施天然林保护、三北防护林、退耕还林、重点区域绿化和湿地保护与恢复工程。开展大规模绿化行动，实现城镇乡村园林化、道路河流林带化、矿区景点生态化。到2025年，完成营造林16.8万亩，森林覆盖率提高到38.2%，人均公共绿地面积达到10平方米以上。 </w:t>
      </w:r>
    </w:p>
    <w:p>
      <w:pPr>
        <w:pStyle w:val="2"/>
        <w:keepNext w:val="0"/>
        <w:keepLines w:val="0"/>
        <w:widowControl/>
        <w:suppressLineNumbers w:val="0"/>
        <w:ind w:left="0" w:firstLine="420"/>
        <w:jc w:val="both"/>
      </w:pPr>
      <w:r>
        <w:t xml:space="preserve">——打好净土保卫战。按照“防控治”三位一体的思路，开展土壤基础调查，掌握污染地块分布及其环境风险，推进分类保护与修复。全面提升土壤环境监管能力，强化固废及危险废物监管和防治，严格控制新增土壤污染。按照“谁开采、谁治理”的原则，以居民避险搬迁、基础设施、公共服务、生态修复和环境治理为重点，积极开展采煤沉陷区综合治理。实施农用地、建设用地分级分类管理，加强城镇周边耕地、林地、草地、湿地保护。推动农用地土壤环境质量改善和地下水保护，切断污染来源，持续改善土壤环境质量。到2025年，实现土壤监测点位全覆盖，耕地土壤环境质量点位达标率不低于80%。 </w:t>
      </w:r>
    </w:p>
    <w:p>
      <w:pPr>
        <w:pStyle w:val="2"/>
        <w:keepNext w:val="0"/>
        <w:keepLines w:val="0"/>
        <w:widowControl/>
        <w:suppressLineNumbers w:val="0"/>
        <w:ind w:left="0" w:firstLine="420"/>
        <w:jc w:val="both"/>
      </w:pPr>
      <w:r>
        <w:t xml:space="preserve">——深化城乡人居环境综合整治。开展城乡结合部、老旧小区、城中村等薄弱区域“清脏”“治乱”和“增绿”行动，完善城区道路管网、景观亮化、污水处理、垃圾处置等市政基础设施，提高城市人居环境质量。加快美丽宜居乡村建设，统筹做好乡村绿化、美化、亮化，推进“山、水、林、田、湖、草”系统治理。完善生活垃圾处理、生活污水处理等基础设施，推进农业生产废弃物资源化利用，促进城乡人居环境大改善、大提升。到2025年，农村生活垃圾集中处理率达到100%、生活污水处理率达到80％、无害化卫生厕所普及率达到40%。 </w:t>
      </w:r>
    </w:p>
    <w:p>
      <w:pPr>
        <w:pStyle w:val="2"/>
        <w:keepNext w:val="0"/>
        <w:keepLines w:val="0"/>
        <w:widowControl/>
        <w:suppressLineNumbers w:val="0"/>
        <w:ind w:left="0" w:firstLine="420"/>
        <w:jc w:val="both"/>
      </w:pPr>
      <w:r>
        <w:t xml:space="preserve">三、加强资源集约利用 </w:t>
      </w:r>
    </w:p>
    <w:p>
      <w:pPr>
        <w:pStyle w:val="2"/>
        <w:keepNext w:val="0"/>
        <w:keepLines w:val="0"/>
        <w:widowControl/>
        <w:suppressLineNumbers w:val="0"/>
        <w:ind w:left="0" w:firstLine="420"/>
        <w:jc w:val="both"/>
      </w:pPr>
      <w:r>
        <w:t xml:space="preserve">——全面加强节能减排。加强电力、煤化、建材等重点耗能行业和重点用能企业的节能管理，建立能源消费总量控制考核和行政问责制度，健全节能减碳激励机制，扩大太阳能、风能、生物质能等绿色能源的开发和利用，提高能源资源利用率，确保能源消耗保持在合理区间。持续推进农村冬季清洁取暖改造。大力推行建筑节能新技术和新材料。推广和应用新能源车辆，加快淘汰报废老旧柴油货车，构建绿色生态交通。 </w:t>
      </w:r>
    </w:p>
    <w:p>
      <w:pPr>
        <w:pStyle w:val="2"/>
        <w:keepNext w:val="0"/>
        <w:keepLines w:val="0"/>
        <w:widowControl/>
        <w:suppressLineNumbers w:val="0"/>
        <w:ind w:left="0" w:firstLine="420"/>
        <w:jc w:val="both"/>
      </w:pPr>
      <w:r>
        <w:t xml:space="preserve">——大力发展循环经济。按照“减量化、再利用、资源化”原则，推进园区循环化改造，引导用能企业加快能源技术创新，实施产业废弃物交换利用、能量梯级利用、废水循环利用和污染物集中处理，提高资源利用率。推进无公害、规模化农业产业和集约化畜牧产业有序发展，加快生物质资源回收和“三沼”综合利用，积极推广再生水用于农业浇灌。 </w:t>
      </w:r>
    </w:p>
    <w:p>
      <w:pPr>
        <w:pStyle w:val="2"/>
        <w:keepNext w:val="0"/>
        <w:keepLines w:val="0"/>
        <w:widowControl/>
        <w:suppressLineNumbers w:val="0"/>
        <w:ind w:left="0" w:firstLine="420"/>
        <w:jc w:val="both"/>
      </w:pPr>
      <w:r>
        <w:t xml:space="preserve">——强化国土空间管控。优化国土空间布局，严守耕地红线，加强土地产权登记和土地确权管理，严格保护永久基本农田，严禁非法占用永久基本农田进行非农建设，采取“长牙齿”的措施，落实最严格的耕地保护制度。严格执行耕地资源占补平衡政策，推动乡村建设用地减量整治。积极盘活存量土地，加快城乡闲置土地整理处置，推动城乡土地动态调控。强化“亩产论英雄”，建立“批而未供、供而未建”产业用地动态化评价机制，开展土地开发利用强度和效益考核。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专栏7-2  生态建设和环境保护重点项目 </w:t>
            </w:r>
          </w:p>
          <w:p>
            <w:pPr>
              <w:pStyle w:val="2"/>
              <w:keepNext w:val="0"/>
              <w:keepLines w:val="0"/>
              <w:widowControl/>
              <w:suppressLineNumbers w:val="0"/>
              <w:ind w:left="0" w:firstLine="420"/>
            </w:pPr>
            <w:r>
              <w:t xml:space="preserve">生态产业园、出境断面水质巩固提升、三北防护林、沟头治理、天然林资源保护、河道山体综合治理、湿地公园、森林抚育、低产低效林改造、森林防火体系建设、矿井水处理扩容、畜禽粪污资源化利用、泾河流域（长武段）综合整治及水环境保护、煤矿污水处理站提标改造、黄土高原生态区水土流失治理、青龙山综合流域治理、马成寺水源地保护、农村清洁取暖 </w:t>
            </w:r>
          </w:p>
        </w:tc>
      </w:tr>
    </w:tbl>
    <w:p>
      <w:pPr>
        <w:keepNext w:val="0"/>
        <w:keepLines w:val="0"/>
        <w:widowControl/>
        <w:suppressLineNumbers w:val="0"/>
        <w:jc w:val="center"/>
      </w:pPr>
      <w:r>
        <w:rPr>
          <w:rFonts w:ascii="宋体" w:hAnsi="宋体" w:eastAsia="宋体" w:cs="宋体"/>
          <w:kern w:val="0"/>
          <w:sz w:val="24"/>
          <w:szCs w:val="24"/>
          <w:lang w:val="en-US" w:eastAsia="zh-CN" w:bidi="ar"/>
        </w:rPr>
        <w:t xml:space="preserve">第八章  强化基础设施保障能力 </w:t>
      </w:r>
    </w:p>
    <w:p>
      <w:pPr>
        <w:pStyle w:val="2"/>
        <w:keepNext w:val="0"/>
        <w:keepLines w:val="0"/>
        <w:widowControl/>
        <w:suppressLineNumbers w:val="0"/>
        <w:ind w:left="0" w:firstLine="420"/>
        <w:jc w:val="both"/>
      </w:pPr>
      <w:r>
        <w:t xml:space="preserve">聚焦高质量发展，整合各类资源，加快水电路讯等基础设施建设，大力发展5G网络、数据中心等新型基础设施，构建全方位、立体式、多样化服务保障体系，创造一流发展环境。 </w:t>
      </w:r>
    </w:p>
    <w:p>
      <w:pPr>
        <w:pStyle w:val="2"/>
        <w:keepNext w:val="0"/>
        <w:keepLines w:val="0"/>
        <w:widowControl/>
        <w:suppressLineNumbers w:val="0"/>
        <w:ind w:left="0" w:firstLine="420"/>
        <w:jc w:val="both"/>
      </w:pPr>
      <w:r>
        <w:t xml:space="preserve">一、优化交通运输环境 </w:t>
      </w:r>
    </w:p>
    <w:p>
      <w:pPr>
        <w:pStyle w:val="2"/>
        <w:keepNext w:val="0"/>
        <w:keepLines w:val="0"/>
        <w:widowControl/>
        <w:suppressLineNumbers w:val="0"/>
        <w:ind w:left="0" w:firstLine="420"/>
        <w:jc w:val="both"/>
      </w:pPr>
      <w:r>
        <w:t xml:space="preserve">完善县域交通路网，提升运输服务能力，促进各种运输方式相互衔接，形成安全、便捷、高效、绿色的现代综合交通网络。 </w:t>
      </w:r>
    </w:p>
    <w:p>
      <w:pPr>
        <w:pStyle w:val="2"/>
        <w:keepNext w:val="0"/>
        <w:keepLines w:val="0"/>
        <w:widowControl/>
        <w:suppressLineNumbers w:val="0"/>
        <w:ind w:left="0" w:firstLine="420"/>
        <w:jc w:val="both"/>
      </w:pPr>
      <w:r>
        <w:t xml:space="preserve">——健全对外交通体系。加快推进出境干线公路、省际县际交界路段、高速公路入口建设和提升改造，实施灵华高速长武段、通用机场等项目，构建“县际大循环”交通运输网络，全面提升经济发展交通支撑力，打造新的经济增长极。到2025年，建成通用机场1座、高速公路34.1公里、国道34公里、省道44公里，开通省际客运班线5条。 </w:t>
      </w:r>
    </w:p>
    <w:p>
      <w:pPr>
        <w:pStyle w:val="2"/>
        <w:keepNext w:val="0"/>
        <w:keepLines w:val="0"/>
        <w:widowControl/>
        <w:suppressLineNumbers w:val="0"/>
        <w:ind w:left="0" w:firstLine="420"/>
        <w:jc w:val="both"/>
      </w:pPr>
      <w:r>
        <w:t xml:space="preserve">——优化县域交通网络。聚焦“西咸一体”“彬长旬资源带”和“陕西西大门”建设，加快312国道长武段一级公路、泾河工业大道等道路工程建设，打通断头路，畅通微循环。统筹实施重点镇村、重点园区、重点景区环线延伸改造工程，改善路网结构，加快提档升级，构建“四纵、四横、两连环”的县域交通网络。到2025年，新修县道114.4公里、乡道116.5公里、通村公路761.3公里，新建鸦儿沟大桥1座，公路总里程达1104公里，路网密度达到1.95公里／百平方公里。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专栏8-1  四纵、四横、两连环路网结构 </w:t>
            </w:r>
          </w:p>
          <w:p>
            <w:pPr>
              <w:pStyle w:val="2"/>
              <w:keepNext w:val="0"/>
              <w:keepLines w:val="0"/>
              <w:widowControl/>
              <w:suppressLineNumbers w:val="0"/>
              <w:ind w:left="0" w:firstLine="420"/>
            </w:pPr>
            <w:r>
              <w:t xml:space="preserve">四纵：灵华高速东延段、冉店—相公公路、七里—强村公路、丁家—陶儿咀公路及五里铺—司家河公路 </w:t>
            </w:r>
          </w:p>
          <w:p>
            <w:pPr>
              <w:pStyle w:val="2"/>
              <w:keepNext w:val="0"/>
              <w:keepLines w:val="0"/>
              <w:widowControl/>
              <w:suppressLineNumbers w:val="0"/>
              <w:ind w:left="0" w:firstLine="420"/>
            </w:pPr>
            <w:r>
              <w:t xml:space="preserve">四横：312国道（含过境段）、福银高速公路、长亭湖环湖公路、长武—宁县公路 </w:t>
            </w:r>
          </w:p>
          <w:p>
            <w:pPr>
              <w:pStyle w:val="2"/>
              <w:keepNext w:val="0"/>
              <w:keepLines w:val="0"/>
              <w:widowControl/>
              <w:suppressLineNumbers w:val="0"/>
              <w:ind w:left="0" w:firstLine="420"/>
            </w:pPr>
            <w:r>
              <w:t xml:space="preserve">两环：南环：长武—亭口公路及312国道；北环：矿区公路、胡家河—齐家河公路、齐宇河—长庆桥公路、司家河—五里铺公路及312国道 </w:t>
            </w:r>
          </w:p>
        </w:tc>
      </w:tr>
    </w:tbl>
    <w:p>
      <w:pPr>
        <w:pStyle w:val="2"/>
        <w:keepNext w:val="0"/>
        <w:keepLines w:val="0"/>
        <w:widowControl/>
        <w:suppressLineNumbers w:val="0"/>
        <w:ind w:left="0" w:firstLine="420"/>
        <w:jc w:val="both"/>
      </w:pPr>
      <w:r>
        <w:t>——提升交通服务能力。围绕“融入大西安2小时经济圈”，</w:t>
      </w:r>
      <w:r>
        <w:fldChar w:fldCharType="begin"/>
      </w:r>
      <w:r>
        <w:instrText xml:space="preserve"> HYPERLINK "https://www.so.com/link?m=bIp3IwLmU8qa7060VHXeb9lZFCq6fvXnMYwHLT2zIKWy9ksDoWTUiJuuJUaO6nIcq58ARqC1kPCX3dSTgJQwKIqyu8ihrthMvHIg2k89iR0YD86DL3NfGATnkYWqailQPdh/DM7dudvMFpTs5/7dbCxpj8lDHIGUlTd5qBKF3GD3HN5tzu9W6pGRV026H9o+ODTl/Iz5NQzxTuUBlrmqe876Bk6+tTg7p8B5caNqAs5J7txx9D6wu6coAwJaS73clhojJZjzXIJM=" </w:instrText>
      </w:r>
      <w:r>
        <w:fldChar w:fldCharType="separate"/>
      </w:r>
      <w:r>
        <w:rPr>
          <w:rStyle w:val="5"/>
        </w:rPr>
        <w:t>落实公共交通优先发展战略,</w:t>
      </w:r>
      <w:r>
        <w:fldChar w:fldCharType="end"/>
      </w:r>
      <w:r>
        <w:t xml:space="preserve">完成二级客运站搬迁，引导城乡交通向大众、高效、低耗、可持续方向转变，打造快捷畅通、安全舒适、守时准点的城乡公交客运体系。全面实行“路长制”，推动道路生命安全保障工程逐步向村级公路延伸，不断提高公路安全保障水平。到2025年，运输车辆达到2600台，其中客运车辆170辆、大货运车140辆、出租车130辆、汽车维修业户120户。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专栏8-2  交通运输重点项目 </w:t>
            </w:r>
          </w:p>
          <w:p>
            <w:pPr>
              <w:pStyle w:val="2"/>
              <w:keepNext w:val="0"/>
              <w:keepLines w:val="0"/>
              <w:widowControl/>
              <w:suppressLineNumbers w:val="0"/>
              <w:ind w:left="0" w:firstLine="420"/>
            </w:pPr>
            <w:r>
              <w:t xml:space="preserve">主干通道：通用机场、灵华高速长武段、312国道县城过境段一级公路、相公镇至杨家沟二级公路 </w:t>
            </w:r>
          </w:p>
          <w:p>
            <w:pPr>
              <w:pStyle w:val="2"/>
              <w:keepNext w:val="0"/>
              <w:keepLines w:val="0"/>
              <w:widowControl/>
              <w:suppressLineNumbers w:val="0"/>
              <w:ind w:left="0" w:firstLine="420"/>
            </w:pPr>
            <w:r>
              <w:t xml:space="preserve">县乡道路：泾河工业大道、齐宇河至长庆桥二级公路、通自然村公路、长亭湖环湖公路、七强公路、丁家镇五里铺至陶儿咀三级公路、亭相矿区公路、彭公镇鸦儿沟大桥、巨家至绍寨公路、二厂至碾子坡公路 </w:t>
            </w:r>
          </w:p>
          <w:p>
            <w:pPr>
              <w:pStyle w:val="2"/>
              <w:keepNext w:val="0"/>
              <w:keepLines w:val="0"/>
              <w:widowControl/>
              <w:suppressLineNumbers w:val="0"/>
              <w:ind w:left="0" w:firstLine="420"/>
            </w:pPr>
            <w:r>
              <w:t xml:space="preserve">能力提升：高速公路出口提升、长武县一级汽车站、齐宇河三级汽车站、交通运输应急指挥及应急物资储备中心、智慧交通 </w:t>
            </w:r>
          </w:p>
        </w:tc>
      </w:tr>
    </w:tbl>
    <w:p>
      <w:pPr>
        <w:pStyle w:val="2"/>
        <w:keepNext w:val="0"/>
        <w:keepLines w:val="0"/>
        <w:widowControl/>
        <w:suppressLineNumbers w:val="0"/>
        <w:ind w:left="0" w:firstLine="420"/>
        <w:jc w:val="both"/>
      </w:pPr>
      <w:r>
        <w:t xml:space="preserve">二、提升供水保障能力 </w:t>
      </w:r>
    </w:p>
    <w:p>
      <w:pPr>
        <w:pStyle w:val="2"/>
        <w:keepNext w:val="0"/>
        <w:keepLines w:val="0"/>
        <w:widowControl/>
        <w:suppressLineNumbers w:val="0"/>
        <w:ind w:left="0" w:firstLine="420"/>
        <w:jc w:val="both"/>
      </w:pPr>
      <w:r>
        <w:t xml:space="preserve">坚持生态优先、绿色发展、以水而定、量水而行，深化水利改革，推进依法治水，增强供水保障能力，实施“智慧水利工程”，推进水治理体系和治理能力现代化。 </w:t>
      </w:r>
    </w:p>
    <w:p>
      <w:pPr>
        <w:pStyle w:val="2"/>
        <w:keepNext w:val="0"/>
        <w:keepLines w:val="0"/>
        <w:widowControl/>
        <w:suppressLineNumbers w:val="0"/>
        <w:ind w:left="0" w:firstLine="420"/>
        <w:jc w:val="both"/>
      </w:pPr>
      <w:r>
        <w:t xml:space="preserve">——实施重点水源工程。统筹做好水资源配置、骨干工程规划与重点项目建设，亭口水库蓄水运营，实施亭口水库输配水、城乡供水、第二水厂等工程。改造老城区供水管网，完善配套设施，推进城乡备用水源建设，提升供水设施运营管理、经营服务、应急抢险智慧化水平，为城乡生活和工业供水提供可靠水源。到2025年，新增调蓄能力2.47亿立方米。 </w:t>
      </w:r>
    </w:p>
    <w:p>
      <w:pPr>
        <w:pStyle w:val="2"/>
        <w:keepNext w:val="0"/>
        <w:keepLines w:val="0"/>
        <w:widowControl/>
        <w:suppressLineNumbers w:val="0"/>
        <w:ind w:left="0" w:firstLine="420"/>
        <w:jc w:val="both"/>
      </w:pPr>
      <w:r>
        <w:t xml:space="preserve">——保障城乡饮水安全。以保护水源、改善水质、增加水量、保障水安全为目标，实施巨路塬区集中供水、单村小型水利、自动化监控系统建设、农村饮用水水源保护等工程，建立产权清晰、责任明确、管护到位的管护机制，推动饮水工程进入自我维持、自我发展的良性运行轨道。 </w:t>
      </w:r>
    </w:p>
    <w:p>
      <w:pPr>
        <w:pStyle w:val="2"/>
        <w:keepNext w:val="0"/>
        <w:keepLines w:val="0"/>
        <w:widowControl/>
        <w:suppressLineNumbers w:val="0"/>
        <w:ind w:left="0" w:firstLine="420"/>
        <w:jc w:val="both"/>
      </w:pPr>
      <w:r>
        <w:t xml:space="preserve">——完善水利基础设施。实施中小河流治理、煤矿疏干水利用工程，推进生态清洁小流域和水土保持示范园建设。开展泾河干流综合治理、山洪灾害防治、抗旱供水能力提升等专项行动，提升水资源优化配置和水旱灾害防御能力。到2025年，治理水土流失100平方公里，水土流失治理程度提高16%。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专栏8-3  水利重点项目 </w:t>
            </w:r>
          </w:p>
          <w:p>
            <w:pPr>
              <w:pStyle w:val="2"/>
              <w:keepNext w:val="0"/>
              <w:keepLines w:val="0"/>
              <w:widowControl/>
              <w:suppressLineNumbers w:val="0"/>
              <w:ind w:left="0" w:firstLine="420"/>
            </w:pPr>
            <w:r>
              <w:t xml:space="preserve">重点水源：亭口水库、方庄沟水库 </w:t>
            </w:r>
          </w:p>
          <w:p>
            <w:pPr>
              <w:pStyle w:val="2"/>
              <w:keepNext w:val="0"/>
              <w:keepLines w:val="0"/>
              <w:widowControl/>
              <w:suppressLineNumbers w:val="0"/>
              <w:ind w:left="0" w:firstLine="420"/>
            </w:pPr>
            <w:r>
              <w:t xml:space="preserve">安全饮水：城乡供水工程、第二水厂、县城供水管网、老城区供水管网更新改造、北部塬区北干线供水 </w:t>
            </w:r>
          </w:p>
          <w:p>
            <w:pPr>
              <w:pStyle w:val="2"/>
              <w:keepNext w:val="0"/>
              <w:keepLines w:val="0"/>
              <w:widowControl/>
              <w:suppressLineNumbers w:val="0"/>
              <w:ind w:left="0" w:firstLine="420"/>
            </w:pPr>
            <w:r>
              <w:t xml:space="preserve">综合治理：泾河流域长武段综合治理、水保生态综合整治、黑河丁家至枣园段防洪、黑河亭口段堤防、磨子河护岸工程 </w:t>
            </w:r>
          </w:p>
          <w:p>
            <w:pPr>
              <w:pStyle w:val="2"/>
              <w:keepNext w:val="0"/>
              <w:keepLines w:val="0"/>
              <w:widowControl/>
              <w:suppressLineNumbers w:val="0"/>
              <w:ind w:left="0" w:firstLine="420"/>
            </w:pPr>
            <w:r>
              <w:t xml:space="preserve">能力提升：县城智慧供水管理系统建设、水质检测中心、水保监督设施建设 </w:t>
            </w:r>
          </w:p>
        </w:tc>
      </w:tr>
    </w:tbl>
    <w:p>
      <w:pPr>
        <w:pStyle w:val="2"/>
        <w:keepNext w:val="0"/>
        <w:keepLines w:val="0"/>
        <w:widowControl/>
        <w:suppressLineNumbers w:val="0"/>
        <w:ind w:left="0" w:firstLine="420"/>
        <w:jc w:val="both"/>
      </w:pPr>
      <w:r>
        <w:t xml:space="preserve">三、加强电力设施建设 </w:t>
      </w:r>
    </w:p>
    <w:p>
      <w:pPr>
        <w:pStyle w:val="2"/>
        <w:keepNext w:val="0"/>
        <w:keepLines w:val="0"/>
        <w:widowControl/>
        <w:suppressLineNumbers w:val="0"/>
        <w:ind w:left="0" w:firstLine="420"/>
        <w:jc w:val="both"/>
      </w:pPr>
      <w:r>
        <w:t xml:space="preserve">以建设坚强电网为核心，加快电力基础设施建设，提高智能电网保障能力，为经济社会发展提供可靠电力保障。  </w:t>
      </w:r>
    </w:p>
    <w:p>
      <w:pPr>
        <w:pStyle w:val="2"/>
        <w:keepNext w:val="0"/>
        <w:keepLines w:val="0"/>
        <w:widowControl/>
        <w:suppressLineNumbers w:val="0"/>
        <w:ind w:left="0" w:firstLine="420"/>
        <w:jc w:val="both"/>
      </w:pPr>
      <w:r>
        <w:t xml:space="preserve">——加快区域电网改造。以清洁低碳、安全高效、供应优化为目标，优化城镇电网结构，加快电网升级改造，实施330变电站、东秦等4座110千伏变电站和35千伏变电站增容改造等工程，新建改造中低压线路673.92千米，建成高标准充电站3座、充电桩506台。到2025年，供电可靠率达到98.85%、综合电压合格率达到98.81%、标准化接线率达到86%，电力运行指标全部达到国家标准。 </w:t>
      </w:r>
    </w:p>
    <w:p>
      <w:pPr>
        <w:pStyle w:val="2"/>
        <w:keepNext w:val="0"/>
        <w:keepLines w:val="0"/>
        <w:widowControl/>
        <w:suppressLineNumbers w:val="0"/>
        <w:ind w:left="0" w:firstLine="420"/>
        <w:jc w:val="both"/>
      </w:pPr>
      <w:r>
        <w:t xml:space="preserve">——推广智能电网建设。加快配电自动化、智能配电台区、农村用电信息化建设，更新老旧设备，优化运行方式，推广智能化、自动化、集成化及绿色环保节能产品。完善新能源和分布式电源接入系统，因地制宜开展微电网建设，实现用电信息互联互通，促进能源与信息深度融合，建成安全可靠、经济环保、技术先进、信息畅通的现代化一流配电网。至2025年，新增三遥终端184台，配电自动化三遥覆盖率达到100%。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专栏8-4  电力重点项目 </w:t>
            </w:r>
          </w:p>
          <w:p>
            <w:pPr>
              <w:pStyle w:val="2"/>
              <w:keepNext w:val="0"/>
              <w:keepLines w:val="0"/>
              <w:widowControl/>
              <w:suppressLineNumbers w:val="0"/>
              <w:ind w:left="0" w:firstLine="420"/>
            </w:pPr>
            <w:r>
              <w:t xml:space="preserve">330变电站、110千伏亭口变增容改造、110千伏岭后变增容改造、110千伏彭公变改造、110千伏东秦变2#主变增容、35千伏相公变增容改造、10千伏及以下电网升级改造 </w:t>
            </w:r>
          </w:p>
        </w:tc>
      </w:tr>
    </w:tbl>
    <w:p>
      <w:pPr>
        <w:pStyle w:val="2"/>
        <w:keepNext w:val="0"/>
        <w:keepLines w:val="0"/>
        <w:widowControl/>
        <w:suppressLineNumbers w:val="0"/>
        <w:ind w:left="0" w:firstLine="420"/>
        <w:jc w:val="both"/>
      </w:pPr>
      <w:r>
        <w:t xml:space="preserve">四、发展新型基础设施 </w:t>
      </w:r>
    </w:p>
    <w:p>
      <w:pPr>
        <w:pStyle w:val="2"/>
        <w:keepNext w:val="0"/>
        <w:keepLines w:val="0"/>
        <w:widowControl/>
        <w:suppressLineNumbers w:val="0"/>
        <w:ind w:left="0" w:firstLine="420"/>
        <w:jc w:val="both"/>
      </w:pPr>
      <w:r>
        <w:t xml:space="preserve">推广运用大数据、云计算、物联网、区块链等新技术，创造新供给、激发新需求、培育新动能，建设高科技、高信息、全覆盖的数字产业链和数字服务体系。 </w:t>
      </w:r>
    </w:p>
    <w:p>
      <w:pPr>
        <w:pStyle w:val="2"/>
        <w:keepNext w:val="0"/>
        <w:keepLines w:val="0"/>
        <w:widowControl/>
        <w:suppressLineNumbers w:val="0"/>
        <w:ind w:left="0" w:firstLine="420"/>
        <w:jc w:val="both"/>
      </w:pPr>
      <w:r>
        <w:t xml:space="preserve">——加快5G网络建设。坚持创新引领、应用示范、产业集聚，加快5G基站建设，开展5G项目孵化，打造5G精品网络，推动5G技术与交通运输、现代物流、医疗教育、电子商务、文化旅游、智慧矿山等深度融合。加强先进数字技术的推广应用，完善大数据处理分析、辅助决策和资源自动配置等功能，助力县域经济社会高质量发展。到2025年，建成5G基站81座，实现重点区域5G网络全覆盖。 </w:t>
      </w:r>
    </w:p>
    <w:p>
      <w:pPr>
        <w:pStyle w:val="2"/>
        <w:keepNext w:val="0"/>
        <w:keepLines w:val="0"/>
        <w:widowControl/>
        <w:suppressLineNumbers w:val="0"/>
        <w:ind w:left="0" w:firstLine="420"/>
        <w:jc w:val="both"/>
      </w:pPr>
      <w:r>
        <w:t xml:space="preserve">——强化新技术应用推广。积极发展面向工业、农业、商贸物流、文化旅游等行业应用场景的大数据平台，推动信息技术与交通、医疗、教育、电子政务等实体深度融合。依靠信息技术创新驱动，推进能源化工、装备制造、食品医药等优势产业全链条、数字化、网络化、智能化改造，提高全要素生产率，释放数字对经济发展的放大、叠加、倍增作用。加快智慧社会建设，提升全民数字技能，实现信息服务全覆盖。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专栏8-5  信息化重点项目 </w:t>
            </w:r>
          </w:p>
          <w:p>
            <w:pPr>
              <w:pStyle w:val="2"/>
              <w:keepNext w:val="0"/>
              <w:keepLines w:val="0"/>
              <w:widowControl/>
              <w:suppressLineNumbers w:val="0"/>
              <w:ind w:left="0" w:firstLine="420"/>
            </w:pPr>
            <w:r>
              <w:t xml:space="preserve">通信基础设施：5G网络建设、H类宽带建设、IPv6升级改造、5G超级机房、NB-IoT应用、政务网升级、中心机房安全加固 </w:t>
            </w:r>
          </w:p>
          <w:p>
            <w:pPr>
              <w:pStyle w:val="2"/>
              <w:keepNext w:val="0"/>
              <w:keepLines w:val="0"/>
              <w:widowControl/>
              <w:suppressLineNumbers w:val="0"/>
              <w:ind w:left="0" w:firstLine="420"/>
            </w:pPr>
            <w:r>
              <w:t xml:space="preserve">技术应用：“有数”长武数字经济应用平台、社会综合治理一体化平台、市场监管“大数据”监管平台、电子政务服务平台、公共事业缴费移动支付、社会信用体系管理平台、苹果数字化示范基地、高标准农田数字化建设、新型智慧城市时空大数据平台、一体化大数据资源基础库、5G+智慧矿山试点应用、“互联网+”乡村旅游服务平台 </w:t>
            </w:r>
          </w:p>
        </w:tc>
      </w:tr>
    </w:tbl>
    <w:p>
      <w:pPr>
        <w:keepNext w:val="0"/>
        <w:keepLines w:val="0"/>
        <w:widowControl/>
        <w:suppressLineNumbers w:val="0"/>
        <w:jc w:val="center"/>
      </w:pPr>
      <w:r>
        <w:rPr>
          <w:rFonts w:ascii="宋体" w:hAnsi="宋体" w:eastAsia="宋体" w:cs="宋体"/>
          <w:kern w:val="0"/>
          <w:sz w:val="24"/>
          <w:szCs w:val="24"/>
          <w:lang w:val="en-US" w:eastAsia="zh-CN" w:bidi="ar"/>
        </w:rPr>
        <w:t xml:space="preserve">第九章  持续增进群众幸福指数 </w:t>
      </w:r>
    </w:p>
    <w:p>
      <w:pPr>
        <w:pStyle w:val="2"/>
        <w:keepNext w:val="0"/>
        <w:keepLines w:val="0"/>
        <w:widowControl/>
        <w:suppressLineNumbers w:val="0"/>
        <w:ind w:left="0" w:firstLine="420"/>
        <w:jc w:val="both"/>
      </w:pPr>
      <w:r>
        <w:t xml:space="preserve">以增进人民福祉为出发点和落脚点，加快基本公共服务均等化、标准化建设，提升供给能力和保障水平，使发展成果更多更公平惠及全体人民，实现人民群众高品质生活。 </w:t>
      </w:r>
    </w:p>
    <w:p>
      <w:pPr>
        <w:keepNext w:val="0"/>
        <w:keepLines w:val="0"/>
        <w:widowControl/>
        <w:suppressLineNumbers w:val="0"/>
        <w:jc w:val="left"/>
      </w:pPr>
      <w:r>
        <w:rPr>
          <w:rFonts w:ascii="宋体" w:hAnsi="宋体" w:eastAsia="宋体" w:cs="宋体"/>
          <w:kern w:val="0"/>
          <w:sz w:val="24"/>
          <w:szCs w:val="24"/>
          <w:lang w:val="en-US" w:eastAsia="zh-CN" w:bidi="ar"/>
        </w:rPr>
        <w:t xml:space="preserve">一、坚持教育优先发展 </w:t>
      </w:r>
    </w:p>
    <w:p>
      <w:pPr>
        <w:pStyle w:val="2"/>
        <w:keepNext w:val="0"/>
        <w:keepLines w:val="0"/>
        <w:widowControl/>
        <w:suppressLineNumbers w:val="0"/>
        <w:ind w:left="0" w:firstLine="420"/>
        <w:jc w:val="both"/>
      </w:pPr>
      <w:r>
        <w:t xml:space="preserve">深化教育领域综合改革，巩固国家义务教育发展基本均衡县和“双高双普”成果,以创建义务教育优质均衡发展县为目标，合理配置资源，实施素质教育，提高教育质量，实现教育现代化。 </w:t>
      </w:r>
    </w:p>
    <w:p>
      <w:pPr>
        <w:pStyle w:val="2"/>
        <w:keepNext w:val="0"/>
        <w:keepLines w:val="0"/>
        <w:widowControl/>
        <w:suppressLineNumbers w:val="0"/>
        <w:ind w:left="0" w:firstLine="420"/>
      </w:pPr>
      <w:r>
        <w:t xml:space="preserve">——促进学前教育优质普惠发展。坚持政府主导、社会参与、公办民办并举的思路，加快公办幼儿园建设，支持普惠性民办幼儿园发展，改善幼儿园办学条件，优化城乡幼儿园布局，建设朝阳幼儿园、新区幼儿园、育才幼儿园，有效化解城区“入园难”问题。实施学前教育质量提升计划，纠正小学化倾向，规范幼小衔接，探索早期教育模式，提升保教水平。到2025年，学前教育毛入园率达到99.5%。 </w:t>
      </w:r>
    </w:p>
    <w:p>
      <w:pPr>
        <w:pStyle w:val="2"/>
        <w:keepNext w:val="0"/>
        <w:keepLines w:val="0"/>
        <w:widowControl/>
        <w:suppressLineNumbers w:val="0"/>
        <w:ind w:left="0" w:firstLine="420"/>
      </w:pPr>
      <w:r>
        <w:t xml:space="preserve">    ——促进义务教育优质均衡发展。落实义务教育政策，改善办学条件，推进义务教育学校标准化建设。统筹推进城镇人口快速增长区域的配套学校建设，改善城区中小学校优质教育资源短缺和“大班额”等问题。推进教育信息化发展，扩大优质教育资源覆盖面。到2025年，义务教育阶段巩固率达到99%以上。 </w:t>
      </w:r>
    </w:p>
    <w:p>
      <w:pPr>
        <w:pStyle w:val="2"/>
        <w:keepNext w:val="0"/>
        <w:keepLines w:val="0"/>
        <w:widowControl/>
        <w:suppressLineNumbers w:val="0"/>
        <w:ind w:left="0" w:firstLine="420"/>
      </w:pPr>
      <w:r>
        <w:t xml:space="preserve">——促进高中教育优质特色发展。实施高中阶段教育普及攻坚计划，巩固标准化学校创建成果，提升教学硬件设施，创建省级示范高中。深化普通高中课程改革，有序实施新课程、使用新教材、探索新教法，积极应对新高考改革。探索特色化、多样化人才培养实践，形成促进学生个性化全面发展的育人模式。 </w:t>
      </w:r>
    </w:p>
    <w:p>
      <w:pPr>
        <w:pStyle w:val="2"/>
        <w:keepNext w:val="0"/>
        <w:keepLines w:val="0"/>
        <w:widowControl/>
        <w:suppressLineNumbers w:val="0"/>
        <w:ind w:left="0" w:firstLine="420"/>
        <w:jc w:val="both"/>
      </w:pPr>
      <w:r>
        <w:t xml:space="preserve">——促进职业教育融合协调发展。加快职教中心标准化建设步伐，创建省级示范性职业教育学校。结合乡村振兴战略，增强职业教育办学针对性，创办新专业，开设新课程，创新农学结合模式，发挥职教中心培训基地功能，构建覆盖县、镇、村的职业教育培训网络。到2025年，职业培训人数达到2000人/年。 </w:t>
      </w:r>
    </w:p>
    <w:p>
      <w:pPr>
        <w:pStyle w:val="2"/>
        <w:keepNext w:val="0"/>
        <w:keepLines w:val="0"/>
        <w:widowControl/>
        <w:suppressLineNumbers w:val="0"/>
        <w:ind w:left="0" w:firstLine="420"/>
      </w:pPr>
      <w:r>
        <w:t xml:space="preserve">——促进特殊教育持续健康发展。实施特殊教育提升工程，建立农村留守儿童关爱和动态监测机制，缓解留守儿童管理缺位、亲情缺失等问题。做好适龄残疾少年儿童义务教育入学安置工作，加大特殊教育随班就读学校教室建设力度，实现学龄残疾少年儿童就近入学、随班就读。 </w:t>
      </w:r>
    </w:p>
    <w:p>
      <w:pPr>
        <w:pStyle w:val="2"/>
        <w:keepNext w:val="0"/>
        <w:keepLines w:val="0"/>
        <w:widowControl/>
        <w:suppressLineNumbers w:val="0"/>
        <w:ind w:left="0" w:firstLine="420"/>
      </w:pPr>
      <w:r>
        <w:t xml:space="preserve">——加强教师队伍建设。制定教师招聘计划，适当增加音乐、体育、美术等学科教师数量。深化教师县管校聘改革，探索建立优秀教师、短缺学科专业教师城乡支教、跨学校任教、学区内走教、跨学段兼教制度。加强教师队伍建设，开展教师业务能力培训，构建师德建设长效机制，鼓励优秀校长和骨干教师交流,发挥名校长、名教师的示范带动作用。到2025年，幼儿园和小学教师大专以上学历达到95%以上，初中教师本科学历达到90%以上，高中教师研究生学历达到15%。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专栏9-1  教育事业重点项目 </w:t>
            </w:r>
          </w:p>
          <w:p>
            <w:pPr>
              <w:pStyle w:val="2"/>
              <w:keepNext w:val="0"/>
              <w:keepLines w:val="0"/>
              <w:widowControl/>
              <w:suppressLineNumbers w:val="0"/>
              <w:ind w:left="0" w:firstLine="420"/>
            </w:pPr>
            <w:r>
              <w:t xml:space="preserve">职业教育中心、育才中学、朝阳小学、朝阳中学、长武中学风雨操场、昭仁幼儿园、城西幼儿园、新区幼儿园、育才幼儿园、特殊教育学校、育才小学、北关小学综合楼、朝阳幼儿园、初级实验中学实验楼、亭口镇中心小学综合楼、名师培养工程 </w:t>
            </w:r>
          </w:p>
        </w:tc>
      </w:tr>
    </w:tbl>
    <w:p>
      <w:pPr>
        <w:pStyle w:val="2"/>
        <w:keepNext w:val="0"/>
        <w:keepLines w:val="0"/>
        <w:widowControl/>
        <w:suppressLineNumbers w:val="0"/>
        <w:ind w:left="0" w:firstLine="420"/>
      </w:pPr>
      <w:r>
        <w:t xml:space="preserve">二、全面建设健康长武 </w:t>
      </w:r>
    </w:p>
    <w:p>
      <w:pPr>
        <w:pStyle w:val="2"/>
        <w:keepNext w:val="0"/>
        <w:keepLines w:val="0"/>
        <w:widowControl/>
        <w:suppressLineNumbers w:val="0"/>
        <w:ind w:left="0" w:firstLine="420"/>
      </w:pPr>
      <w:r>
        <w:t xml:space="preserve">以“促健康、转模式、强基层、重保障”为重点，完善覆盖城乡的基本医疗卫生健康制度，建立新型医疗卫生健康服务体系，优化健康资源，满足人民群众更高水平的健康服务需求。  </w:t>
      </w:r>
    </w:p>
    <w:p>
      <w:pPr>
        <w:pStyle w:val="2"/>
        <w:keepNext w:val="0"/>
        <w:keepLines w:val="0"/>
        <w:widowControl/>
        <w:suppressLineNumbers w:val="0"/>
        <w:ind w:left="0" w:firstLine="420"/>
      </w:pPr>
      <w:r>
        <w:t xml:space="preserve">——深化医药卫生体制改革。落实分级诊疗制度，加快紧密型医共体建设，促进优质医疗资源下沉，提升基层综合服务能力。加快现代医院管理制度建设，引导公立医院向精细化管理转变。落实国家基本药物制度，规范健康机构基本药物使用和药品耗材配送管理，建立药品价格和质量追溯体系。建立适应卫生健康行业特点的人事薪酬制度，健全绩效考核和奖励激励机制，逐步实现同岗同薪。到2025年，县域就诊率稳定在90%以上，基层就诊率达到55%以上。 </w:t>
      </w:r>
    </w:p>
    <w:p>
      <w:pPr>
        <w:pStyle w:val="2"/>
        <w:keepNext w:val="0"/>
        <w:keepLines w:val="0"/>
        <w:widowControl/>
        <w:suppressLineNumbers w:val="0"/>
        <w:ind w:left="0" w:firstLine="420"/>
      </w:pPr>
      <w:r>
        <w:t xml:space="preserve">——健全公共卫生服务体系。建立科学考核评估机制，完善县、乡、村三级疾病预防控制和传染病防治网络，建设标准化疾控中心，提高疾病预防控制机构检测、预警、处置能力。完善突发公共卫生事件应急体系，实施重大传染病防治项目，建立重大突发传染病和群体性不明原因疾病监测、防治制度。落实疫苗分类管理，提高“七苗”有效接种率和覆盖率。巩固地方病防治示范县创建成果，确保大骨节病、克山病等地方病控制达标。开展慢性非传染性疾病防治，落实干预措施。注重精神卫生健康体系建设，提高精神卫生健康防治水平。 </w:t>
      </w:r>
    </w:p>
    <w:p>
      <w:pPr>
        <w:pStyle w:val="2"/>
        <w:keepNext w:val="0"/>
        <w:keepLines w:val="0"/>
        <w:widowControl/>
        <w:suppressLineNumbers w:val="0"/>
        <w:ind w:left="0" w:firstLine="420"/>
      </w:pPr>
      <w:r>
        <w:t xml:space="preserve">——提升医疗服务综合实力。建立以县医院为中心，县中医院、妇计中心、乡镇卫生院为骨干，农村卫生室为基础，民办医疗机构为补充的医疗服务体系。推进县医院综合住院楼、急救中心、医疗废弃物处置等项目建设，完善基层医疗设施，提升各级医疗机构硬件水平。实施“名医工程”，加强医疗技术带头人和临床技术骨干的培养，强化同省内外优质医疗机构、对口医院的合作，提高业务素质和技术水平，提升重点学科核心能力。美化医院环境，改善服务态度，优化服务方式，狠抓质量安全管理，提升就医“舒适感”“温馨感”“方便感”“信任感”。到2025年，每千人医技人员达到9名以上，每千人医疗床位数达到8张以上。 </w:t>
      </w:r>
    </w:p>
    <w:p>
      <w:pPr>
        <w:pStyle w:val="2"/>
        <w:keepNext w:val="0"/>
        <w:keepLines w:val="0"/>
        <w:widowControl/>
        <w:suppressLineNumbers w:val="0"/>
        <w:ind w:left="0" w:firstLine="420"/>
      </w:pPr>
      <w:r>
        <w:t xml:space="preserve">——建设特色中医康养体系。发挥中医药文化资源，实施“治未病”健康计划，以中医医院为核心，加大特色科室建设，培养本土中医人才，将中医医院建设成特色浓厚、优势明显，人才、管理、服务、设施完善，结构合理的标准化、独具特色的中医医院。发挥中医院示范辐射作用，加强县乡村中医药业务协作。结合长武生态环境优良、区位优势明显等资源优势，构建预防保健、疾病治疗和康复养生于一体的中医康养体系。到2025年，镇级卫生院中医科室设置率达到100%。 </w:t>
      </w:r>
    </w:p>
    <w:p>
      <w:pPr>
        <w:pStyle w:val="2"/>
        <w:keepNext w:val="0"/>
        <w:keepLines w:val="0"/>
        <w:widowControl/>
        <w:suppressLineNumbers w:val="0"/>
        <w:ind w:left="0" w:firstLine="420"/>
      </w:pPr>
      <w:r>
        <w:t xml:space="preserve">——促进人口事业均衡发展。优化生育政策，提高优生优育服务水平，促进养老和育幼事业健康发展。健全妇幼健康服务体系，提供优质孕前健康检查、住院分娩、避孕节育等全过程生育服务。落实国家免疫规划，加强儿童营养与喂养、生长发育监测、心理行为发育评估，促进人口长期均衡发展。支持社区幼儿照料服务设施建设，降低生育、养育、教育成本。推动养老事业和养老产业协同发展，发展普惠型养老服务和互助性养老，培育养老新业态，支持家庭养老，健全养老服务综合监管制度，构建居家社区机构相协调、医养康养相结合的养老服务体系。到2025年，住院分娩率达到99%以上，婴儿死亡率降低到2‰以下，计划免疫接种率达到95%。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专栏9-2  卫生健康事业重点项目 </w:t>
            </w:r>
          </w:p>
          <w:p>
            <w:pPr>
              <w:pStyle w:val="2"/>
              <w:keepNext w:val="0"/>
              <w:keepLines w:val="0"/>
              <w:widowControl/>
              <w:suppressLineNumbers w:val="0"/>
              <w:ind w:left="0" w:firstLine="420"/>
            </w:pPr>
            <w:r>
              <w:t xml:space="preserve">基础设施：县医院内科综合住院楼、发热门诊及传染病区改扩建、停机坪，妇计中心重点科室建设、医学检验中心、精神专科医院、传染病医院分院改造、疾控中心改扩建、公共卫生中心、卫生监督执法大队业务楼，乡镇卫生院基础设施建设及康复能力建设，标准化村卫生室提升，医疗应急物资储备库改造、医疗废物收转运能力建设、名医培养工程 </w:t>
            </w:r>
          </w:p>
          <w:p>
            <w:pPr>
              <w:pStyle w:val="2"/>
              <w:keepNext w:val="0"/>
              <w:keepLines w:val="0"/>
              <w:widowControl/>
              <w:suppressLineNumbers w:val="0"/>
              <w:ind w:left="0" w:firstLine="420"/>
            </w:pPr>
            <w:r>
              <w:t xml:space="preserve">设备采购：县医院、中医医院、疾控中心、急救中心及乡镇卫生院设备采购，卫健系统、县医院、中医医院、妇计中心、急救中心及乡镇卫生院信息化建设，卫健系统储备调度系统、职业病防治信息系统、家庭医生签约服务信息系统、医联体信息系统 </w:t>
            </w:r>
          </w:p>
        </w:tc>
      </w:tr>
    </w:tbl>
    <w:p>
      <w:pPr>
        <w:pStyle w:val="2"/>
        <w:keepNext w:val="0"/>
        <w:keepLines w:val="0"/>
        <w:widowControl/>
        <w:suppressLineNumbers w:val="0"/>
        <w:ind w:left="0" w:firstLine="420"/>
      </w:pPr>
      <w:r>
        <w:t xml:space="preserve">三、繁荣文化体育事业 </w:t>
      </w:r>
    </w:p>
    <w:p>
      <w:pPr>
        <w:pStyle w:val="2"/>
        <w:keepNext w:val="0"/>
        <w:keepLines w:val="0"/>
        <w:widowControl/>
        <w:suppressLineNumbers w:val="0"/>
        <w:ind w:left="0" w:firstLine="420"/>
      </w:pPr>
      <w:r>
        <w:t xml:space="preserve">以丰富人民群众文化生活、增强人民群众体质为目标，实施文化惠民工程，完善公共文化服务体系，广泛开展全民健身运动，加大文物保护力度，满足人民群众精神文化生活需求。 </w:t>
      </w:r>
    </w:p>
    <w:p>
      <w:pPr>
        <w:pStyle w:val="2"/>
        <w:keepNext w:val="0"/>
        <w:keepLines w:val="0"/>
        <w:widowControl/>
        <w:suppressLineNumbers w:val="0"/>
        <w:ind w:left="0" w:firstLine="420"/>
      </w:pPr>
      <w:r>
        <w:t xml:space="preserve">——加强新时期文化建设。深化中国特色社会主义和中国梦宣传，开展丰富多彩的文化创建、全民读书、文明建设、树标树模等活动，切实加强未成年人思想道德建设，不断丰富人民群众精神文化生活。积极实施《全民科学素质行动计划纲要》，重点提升农村青少年、老年人、职业农民科学素质。培养文化人才，丰富文化创作，讲好长武故事，打响长武文化品牌，推出一批具有长武特色的文化产品。实施文化惠民工程，推进县镇村三级文化阵地建设，扶持公益性文化事业，促进文化事业繁荣发展。到2025年，县级文化馆图书馆全面达标，镇级实现全覆盖，村（社区）服务点达标率达到80%。 </w:t>
      </w:r>
    </w:p>
    <w:p>
      <w:pPr>
        <w:pStyle w:val="2"/>
        <w:keepNext w:val="0"/>
        <w:keepLines w:val="0"/>
        <w:widowControl/>
        <w:suppressLineNumbers w:val="0"/>
        <w:ind w:left="0" w:firstLine="420"/>
      </w:pPr>
      <w:r>
        <w:t xml:space="preserve">——加大文物保护力度。健全文物古迹分级保护制度，加大历史建筑、工业遗存、文物、古树保护力度，巩固提升昭仁寺、东岳庙、碾子坡遗址、牛弘墓等历史文物保护水平。挖掘古豳文化、饮食文化、民居文化、节庆文化等地域文化，保护和传承特色饮食、门楣斗格、刺绣剪纸、民间社火、神话传说等非物质文化遗产。加快推进博物馆、文物安防、消防等基础设施建设步伐。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专栏9-3  文化事业重点项目 </w:t>
            </w:r>
          </w:p>
          <w:p>
            <w:pPr>
              <w:pStyle w:val="2"/>
              <w:keepNext w:val="0"/>
              <w:keepLines w:val="0"/>
              <w:widowControl/>
              <w:suppressLineNumbers w:val="0"/>
              <w:ind w:left="0" w:firstLine="420"/>
            </w:pPr>
            <w:r>
              <w:t xml:space="preserve">博物馆、昭仁寺古建筑维修，新剧院改造、综合文艺节目排练楼、3D数字影院、亭口影剧院、老年活动中心、妇女儿童活动中心、防震减灾科普馆 </w:t>
            </w:r>
          </w:p>
        </w:tc>
      </w:tr>
    </w:tbl>
    <w:p>
      <w:pPr>
        <w:pStyle w:val="2"/>
        <w:keepNext w:val="0"/>
        <w:keepLines w:val="0"/>
        <w:widowControl/>
        <w:suppressLineNumbers w:val="0"/>
        <w:ind w:left="0" w:firstLine="420"/>
      </w:pPr>
      <w:r>
        <w:t xml:space="preserve">——促进体育事业蓬勃发展。完善公共体育基础设施，以县城和重点镇、公园、行政村（社区）、居民点、中小学校为重点，加快标准化体育馆、开放型体育场等项目建设，实现体育健身器材全覆盖。突出假日体育、广场体育、公园体育、休闲体育、校园体育等群众特色体育，开展专项体育普及活动，举办各类全民健身赛事，提高全民综合素质。到2025年，发展专业体育协会5个以上，成年人体质测定合格率超过80%。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6936" w:type="dxa"/>
            <w:shd w:val="clear"/>
            <w:vAlign w:val="top"/>
          </w:tcPr>
          <w:p>
            <w:pPr>
              <w:pStyle w:val="2"/>
              <w:keepNext w:val="0"/>
              <w:keepLines w:val="0"/>
              <w:widowControl/>
              <w:suppressLineNumbers w:val="0"/>
              <w:ind w:left="0" w:firstLine="420"/>
              <w:jc w:val="center"/>
            </w:pPr>
            <w:r>
              <w:t xml:space="preserve">专栏9-4  体育事业重点项目 </w:t>
            </w:r>
          </w:p>
          <w:p>
            <w:pPr>
              <w:pStyle w:val="2"/>
              <w:keepNext w:val="0"/>
              <w:keepLines w:val="0"/>
              <w:widowControl/>
              <w:suppressLineNumbers w:val="0"/>
              <w:ind w:left="0" w:firstLine="420"/>
            </w:pPr>
            <w:r>
              <w:t xml:space="preserve">居民体育健身场地、室内综合体育馆、健身步道、室内游泳馆、国民体质监测与科学健身指导站、农民体育健身场地、体育场观礼台、乡镇健身活动中心 </w:t>
            </w:r>
          </w:p>
        </w:tc>
      </w:tr>
    </w:tbl>
    <w:p>
      <w:pPr>
        <w:pStyle w:val="2"/>
        <w:keepNext w:val="0"/>
        <w:keepLines w:val="0"/>
        <w:widowControl/>
        <w:suppressLineNumbers w:val="0"/>
        <w:ind w:left="0" w:firstLine="420"/>
      </w:pPr>
      <w:r>
        <w:t xml:space="preserve">四、促进城乡居民就业 </w:t>
      </w:r>
    </w:p>
    <w:p>
      <w:pPr>
        <w:pStyle w:val="2"/>
        <w:keepNext w:val="0"/>
        <w:keepLines w:val="0"/>
        <w:widowControl/>
        <w:suppressLineNumbers w:val="0"/>
        <w:ind w:left="0" w:firstLine="420"/>
        <w:jc w:val="both"/>
      </w:pPr>
      <w:r>
        <w:t xml:space="preserve">推进“大众创业、万众创新”，坚持就业优先，保障高校毕业生、退役军人、农民工、易地移民扶贫搬迁人员等群体适时适地就业。加强人力资源市场、基层公共服务平台建设，提升公共就业服务水平。加大创业孵化基地、创业培训、创业贷款、专业合作社等创业就业主体的支持力度。加大劳动保障监察，健全完善劳动关系，维护好劳动者合法权益。到2025年，年转移城乡劳动力3.5万人，年新增就业不少于1000人，城镇调查失业率控制在4.3%以内。 </w:t>
      </w:r>
    </w:p>
    <w:p>
      <w:pPr>
        <w:pStyle w:val="2"/>
        <w:keepNext w:val="0"/>
        <w:keepLines w:val="0"/>
        <w:widowControl/>
        <w:suppressLineNumbers w:val="0"/>
        <w:ind w:left="0" w:firstLine="420"/>
      </w:pPr>
      <w:r>
        <w:t xml:space="preserve">五、提高社会保障水平 </w:t>
      </w:r>
    </w:p>
    <w:p>
      <w:pPr>
        <w:pStyle w:val="2"/>
        <w:keepNext w:val="0"/>
        <w:keepLines w:val="0"/>
        <w:widowControl/>
        <w:suppressLineNumbers w:val="0"/>
        <w:ind w:left="0" w:firstLine="420"/>
        <w:jc w:val="both"/>
      </w:pPr>
      <w:r>
        <w:t xml:space="preserve">坚持“广覆盖、保基本、多层次、可持续”的原则，完善城乡社会保障体系，实现人人享有基本社会保障。 </w:t>
      </w:r>
    </w:p>
    <w:p>
      <w:pPr>
        <w:pStyle w:val="2"/>
        <w:keepNext w:val="0"/>
        <w:keepLines w:val="0"/>
        <w:widowControl/>
        <w:suppressLineNumbers w:val="0"/>
        <w:ind w:left="0" w:firstLine="420"/>
      </w:pPr>
      <w:r>
        <w:t xml:space="preserve">——持续扩大社保覆盖面。实施全民参保计划，全面推进社保“一卡通”，推广“互联网+经办服务”模式，扩大“陕西养老保险APP”“咸阳人社APP”使用覆盖面，实现养老、失业、工伤、生育、城镇医疗“五大保险”全覆盖，城镇职工、城镇居民、农村居民基本医疗保险“三保合一”。到2025年，社保覆盖达到100%，基本养老保险参保率达到99%。 </w:t>
      </w:r>
    </w:p>
    <w:p>
      <w:pPr>
        <w:pStyle w:val="2"/>
        <w:keepNext w:val="0"/>
        <w:keepLines w:val="0"/>
        <w:widowControl/>
        <w:suppressLineNumbers w:val="0"/>
        <w:ind w:left="0" w:firstLine="420"/>
        <w:jc w:val="both"/>
      </w:pPr>
      <w:r>
        <w:t xml:space="preserve">——健全社会救助体系。完善城乡最低生活保障、农村特困供养、计生家庭关怀关爱、医疗救助、教育助学、保障性住房配租等社会救助政策，设立社会医疗救助基金、突发性公共卫生事件医疗救助基金，落实农村特困返贫人员兜底救助，妥善解决、切实保障困难群体基本生活。 </w:t>
      </w:r>
    </w:p>
    <w:p>
      <w:pPr>
        <w:pStyle w:val="2"/>
        <w:keepNext w:val="0"/>
        <w:keepLines w:val="0"/>
        <w:widowControl/>
        <w:suppressLineNumbers w:val="0"/>
        <w:ind w:left="0" w:firstLine="420"/>
      </w:pPr>
      <w:r>
        <w:t xml:space="preserve">——发展社会福利事业。落实孤儿和事实无人抚养儿童基本生活保障政策，细化农村留守儿童和困境儿童关爱服务措施，持续开展“合力监护、相伴成长”“明天计划”“福康工程”等社会福利行动。完善困难残疾人生活补贴和重度残疾人护理补贴制度，加强残疾人康复、综合服务、托养等基础设施建设，提升弱势群体基本生活质量。贯彻民族工作方针和《宗教事务条例》，维护少数民族群众基本权益。积极落实退役军人优待政策，做好安置工作，提高优抚对象生活质量。支持工会、共青团、妇联等人民团体依法开展工作。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专栏9-5  社会保障重点项目 </w:t>
            </w:r>
          </w:p>
          <w:p>
            <w:pPr>
              <w:pStyle w:val="2"/>
              <w:keepNext w:val="0"/>
              <w:keepLines w:val="0"/>
              <w:widowControl/>
              <w:suppressLineNumbers w:val="0"/>
              <w:ind w:left="0" w:firstLine="420"/>
            </w:pPr>
            <w:r>
              <w:t xml:space="preserve">殡仪馆、老年养护院、福利机构改造提升、幸福院升级改造、城市社区日间照料中心、养老服务中心、托育服务中心、农村社区服务中心、农村公益性公墓、残疾人康复服务暨托养中心 </w:t>
            </w:r>
          </w:p>
        </w:tc>
      </w:tr>
    </w:tbl>
    <w:p>
      <w:pPr>
        <w:pStyle w:val="2"/>
        <w:keepNext w:val="0"/>
        <w:keepLines w:val="0"/>
        <w:widowControl/>
        <w:suppressLineNumbers w:val="0"/>
        <w:ind w:left="0" w:firstLine="420"/>
      </w:pPr>
      <w:r>
        <w:t xml:space="preserve">六、提升社会治理能力 </w:t>
      </w:r>
    </w:p>
    <w:p>
      <w:pPr>
        <w:pStyle w:val="2"/>
        <w:keepNext w:val="0"/>
        <w:keepLines w:val="0"/>
        <w:widowControl/>
        <w:suppressLineNumbers w:val="0"/>
        <w:ind w:left="0" w:firstLine="420"/>
        <w:jc w:val="both"/>
      </w:pPr>
      <w:r>
        <w:t xml:space="preserve">按照“依法行政、严格执法、公正司法、全面守法”的要求，加快推进政府职能转变，完善社会治理体系，强化社会治理创新，确保生产生活安定和谐，推动平安长武向更高水平迈进。 </w:t>
      </w:r>
    </w:p>
    <w:p>
      <w:pPr>
        <w:pStyle w:val="2"/>
        <w:keepNext w:val="0"/>
        <w:keepLines w:val="0"/>
        <w:widowControl/>
        <w:suppressLineNumbers w:val="0"/>
        <w:ind w:left="0" w:firstLine="420"/>
      </w:pPr>
      <w:r>
        <w:t xml:space="preserve">——加强民主法治建设。加强党委领导经济社会发展工作的制度化建设，支持和保证人大及其常委会依法行使职权，推动民主协调制度多层次、制度化发展，自觉接受民主党派和社会各界的监督，把依法行政贯彻到经济社会发展的全过程。建立健全重大行政决策公众参与、专家论证、风险评估、合法性审查、集体讨论等法定程序，完善政府法律顾问制度。加快建设政府法律信息咨询服务平台，自觉转变政府职能，全面推进法治长武建设。 </w:t>
      </w:r>
    </w:p>
    <w:p>
      <w:pPr>
        <w:pStyle w:val="2"/>
        <w:keepNext w:val="0"/>
        <w:keepLines w:val="0"/>
        <w:widowControl/>
        <w:suppressLineNumbers w:val="0"/>
        <w:ind w:left="0" w:firstLine="420"/>
      </w:pPr>
      <w:r>
        <w:t xml:space="preserve">——完善社会治理体系。深化社会治理体系创新，持续开展违法犯罪严打整治活动，加强特殊人群、重点人群管控，保持社会大局稳定。加大基层干部法治教育培训力度，提高依法办事能力，加强和提高村级组织法治水平和管理能力。不断强化公共安全管理，依法严密防范和惩治暴力恐怖、非法集资、涉黑涉恶、黄赌毒等犯罪活动，提升人民群众安全感和满意度。建立和完善最严格的药品食品监管制度，创建食品安全示范县。建设以网络监控为核心的社会治理信息化平台，构建社会治理体系“天眼”。加强应急能力建设，构建与公共安全风险相适应，与省市相衔接的突发事件应急体系。全面贯彻落实《消防法》和消防安全责任制，推进消防工作社会化,确保消防工作与经济建设和社会发展相适应。加快推进武装和国防动员改革，全面提高国民国防意识。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69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PrEx>
        <w:trPr>
          <w:tblCellSpacing w:w="0" w:type="dxa"/>
          <w:jc w:val="center"/>
        </w:trPr>
        <w:tc>
          <w:tcPr>
            <w:tcW w:w="6972" w:type="dxa"/>
            <w:shd w:val="clear"/>
            <w:vAlign w:val="top"/>
          </w:tcPr>
          <w:p>
            <w:pPr>
              <w:pStyle w:val="2"/>
              <w:keepNext w:val="0"/>
              <w:keepLines w:val="0"/>
              <w:widowControl/>
              <w:suppressLineNumbers w:val="0"/>
              <w:ind w:left="0" w:firstLine="420"/>
              <w:jc w:val="center"/>
            </w:pPr>
            <w:r>
              <w:t xml:space="preserve">专栏9-6  社会治理重点项目 </w:t>
            </w:r>
          </w:p>
          <w:p>
            <w:pPr>
              <w:pStyle w:val="2"/>
              <w:keepNext w:val="0"/>
              <w:keepLines w:val="0"/>
              <w:widowControl/>
              <w:suppressLineNumbers w:val="0"/>
              <w:ind w:left="0" w:firstLine="420"/>
            </w:pPr>
            <w:r>
              <w:t xml:space="preserve">应急平台、应急物资储备库、应急抢险救援设施配备、基层备灾能力建设 </w:t>
            </w:r>
          </w:p>
        </w:tc>
      </w:tr>
    </w:tbl>
    <w:p>
      <w:pPr>
        <w:pStyle w:val="2"/>
        <w:keepNext w:val="0"/>
        <w:keepLines w:val="0"/>
        <w:widowControl/>
        <w:suppressLineNumbers w:val="0"/>
        <w:ind w:left="0" w:firstLine="420"/>
      </w:pPr>
      <w:r>
        <w:t xml:space="preserve">——提升司法公信力。推进“法律大讲堂”、法治教育进机关、普法宣传、《民法典》普及等活动，营造全民普法、全民遵法、全民用法的良好氛围。完善人民调解制度，畅通正当信访渠道，广泛听取群众诉求。推行办案质量终身责任和错案责任倒查问责制度，依法公正办案，确保司法公正独立，提升司法公信力，为长武经济社会发展创造良好的法治环境。 </w:t>
      </w:r>
    </w:p>
    <w:p>
      <w:pPr>
        <w:pStyle w:val="2"/>
        <w:keepNext w:val="0"/>
        <w:keepLines w:val="0"/>
        <w:widowControl/>
        <w:suppressLineNumbers w:val="0"/>
        <w:ind w:left="0" w:firstLine="420"/>
      </w:pPr>
      <w:r>
        <w:t xml:space="preserve">——推进社会信用体系建设。建立健全社会信用体系，强化事前、事中、事后信用监管，推行信用报告应用制度，开展经营者准入前诚信教育，推进公共信用综合评价应用，推行失信对象名单认定共享，开展失信联合惩戒，落实市场和行业禁入措施，建立健全责任追究机制，完善失信主体信用修复机制。推进信用平台同各行业(领域)业务系统的建设与互联互通，形成信用信息“一张网”，发挥“互联网+大数据”对信用监管的支撑作用，实现监管规范化、精准化、智能化。 </w:t>
      </w:r>
    </w:p>
    <w:p>
      <w:pPr>
        <w:pStyle w:val="2"/>
        <w:keepNext w:val="0"/>
        <w:keepLines w:val="0"/>
        <w:widowControl/>
        <w:suppressLineNumbers w:val="0"/>
        <w:ind w:left="0" w:firstLine="420"/>
        <w:jc w:val="center"/>
      </w:pPr>
      <w:r>
        <w:t xml:space="preserve">第十章  强化规划实施协调保障 </w:t>
      </w:r>
    </w:p>
    <w:p>
      <w:pPr>
        <w:pStyle w:val="2"/>
        <w:keepNext w:val="0"/>
        <w:keepLines w:val="0"/>
        <w:widowControl/>
        <w:suppressLineNumbers w:val="0"/>
        <w:ind w:left="0" w:firstLine="420"/>
        <w:jc w:val="both"/>
      </w:pPr>
      <w:r>
        <w:t xml:space="preserve">本规划纲要是长武县今后一个时期经济社会发展的行动纲领，经县人民代表大会审议通过，具有法律效力，在规划纲要实施过程中，必须切实加强党的领导，聚集要素资源，完善考评机制，确保如期完成各项目标任务。 </w:t>
      </w:r>
    </w:p>
    <w:p>
      <w:pPr>
        <w:pStyle w:val="2"/>
        <w:keepNext w:val="0"/>
        <w:keepLines w:val="0"/>
        <w:widowControl/>
        <w:suppressLineNumbers w:val="0"/>
        <w:ind w:left="0" w:firstLine="420"/>
      </w:pPr>
      <w:r>
        <w:t xml:space="preserve">一、坚持党的全面领导 </w:t>
      </w:r>
    </w:p>
    <w:p>
      <w:pPr>
        <w:pStyle w:val="2"/>
        <w:keepNext w:val="0"/>
        <w:keepLines w:val="0"/>
        <w:widowControl/>
        <w:suppressLineNumbers w:val="0"/>
        <w:ind w:left="0" w:firstLine="420"/>
        <w:jc w:val="both"/>
      </w:pPr>
      <w:r>
        <w:t xml:space="preserve">坚持党的领导，切实增强“四个意识”、坚定“四个自信”、做到“两个维护”，贯彻落实习近平总书记来陕重要讲话精神和中省市各项决策部署，充分发挥各级党委（党组）领导核心作用，健全决策咨询机制，提高决策制度化、科学化、法制化水平。提高党把方向、谋大局、定政策、促改革的能力和定力，科学把握经济社会发展的“时”与“势”，奋力实现高质量发展。坚持全面从严治党，始终把纪律和规矩挺在前面，持续加强干部作风建设和能力培训，不断提高党的执政能力，最大限度凝聚社会各方力量，推动各项决策部署落地生根。 </w:t>
      </w:r>
    </w:p>
    <w:p>
      <w:pPr>
        <w:pStyle w:val="2"/>
        <w:keepNext w:val="0"/>
        <w:keepLines w:val="0"/>
        <w:widowControl/>
        <w:suppressLineNumbers w:val="0"/>
        <w:ind w:left="0" w:firstLine="420"/>
      </w:pPr>
      <w:r>
        <w:t xml:space="preserve">二、健全规划落实机制 </w:t>
      </w:r>
    </w:p>
    <w:p>
      <w:pPr>
        <w:pStyle w:val="2"/>
        <w:keepNext w:val="0"/>
        <w:keepLines w:val="0"/>
        <w:widowControl/>
        <w:suppressLineNumbers w:val="0"/>
        <w:ind w:left="0" w:firstLine="420"/>
        <w:jc w:val="both"/>
      </w:pPr>
      <w:r>
        <w:t xml:space="preserve">牢固树立“一盘棋”思想，成立由县委主要领导任第一组长，县政府主要领导任组长，县委、县政府分管领导任副组长，相关部门、镇（街道）负责人为成员的工作领导小组，按照规划确定的发展目标、重点任务、重大项目和重要举措，落实工作任务、方法措施、时间进度、包抓领导、成效结果“五明确”要求，具体负责规划的实施、评估、督办及重大项目的建设、管理、推进，形成各司其职、上下一体、协调联动的工作机制，统筹抓好规划的落实，确保高质量完成规划任务。 </w:t>
      </w:r>
    </w:p>
    <w:p>
      <w:pPr>
        <w:pStyle w:val="2"/>
        <w:keepNext w:val="0"/>
        <w:keepLines w:val="0"/>
        <w:widowControl/>
        <w:suppressLineNumbers w:val="0"/>
        <w:ind w:left="0" w:firstLine="420"/>
      </w:pPr>
      <w:r>
        <w:t xml:space="preserve">三、统筹要素保障配置 </w:t>
      </w:r>
    </w:p>
    <w:p>
      <w:pPr>
        <w:pStyle w:val="2"/>
        <w:keepNext w:val="0"/>
        <w:keepLines w:val="0"/>
        <w:widowControl/>
        <w:suppressLineNumbers w:val="0"/>
        <w:ind w:left="0" w:firstLine="420"/>
        <w:jc w:val="both"/>
      </w:pPr>
      <w:r>
        <w:t xml:space="preserve">坚持把要素保障作为推进规划实施的重点，强化土地、资金、人才等要素保障。完善土地利用机制，实行土地集约化、市场化运作，合理有序开发利用土地资源，加快土地流转，盘活闲置土地，切实提高土地利用率。构筑重大项目资金保障体系，鼓励引导资金要素合理配置，保证关系民生、公共服务、环境改善等重要目标投资比重。积极争取新时期国内大循环经济政策项目，鼓励民间资本、社会资本参与产业发展，拓展融资渠道，为规划的顺利实施提供资金保障。坚持“人才是第一生产要素”的原则，建立人才奖励激励机制，制定人才引进培养计划，加大科技创新、专业技术、农村实用人才的引进和培养，为经济社会高质量发展汇聚动能。 </w:t>
      </w:r>
    </w:p>
    <w:p>
      <w:pPr>
        <w:pStyle w:val="2"/>
        <w:keepNext w:val="0"/>
        <w:keepLines w:val="0"/>
        <w:widowControl/>
        <w:suppressLineNumbers w:val="0"/>
        <w:ind w:left="0" w:firstLine="420"/>
      </w:pPr>
      <w:r>
        <w:t xml:space="preserve">四、加大规划宣传力度 </w:t>
      </w:r>
    </w:p>
    <w:p>
      <w:pPr>
        <w:pStyle w:val="2"/>
        <w:keepNext w:val="0"/>
        <w:keepLines w:val="0"/>
        <w:widowControl/>
        <w:suppressLineNumbers w:val="0"/>
        <w:ind w:left="0" w:firstLine="420"/>
        <w:jc w:val="both"/>
      </w:pPr>
      <w:r>
        <w:t xml:space="preserve">利用现代融媒体手段，综合各种宣传平台，采取多种形式，以宣传长武资源禀赋、发展远景、特色亮点为主要内容，广泛宣传规划目标任务、重大政策措施、重点发展方向，保障公民对规划的知情权，鼓励全民参与规划的宣传和实施。认真总结规划实施过程中的好经验、好做法，对先进经验进行专题报道、跟踪报道，增强发展信心、凝聚强大正能量，全力营造上下一心，真抓实干，奋力赶超的良好舆论氛围。 </w:t>
      </w:r>
    </w:p>
    <w:p>
      <w:pPr>
        <w:pStyle w:val="2"/>
        <w:keepNext w:val="0"/>
        <w:keepLines w:val="0"/>
        <w:widowControl/>
        <w:suppressLineNumbers w:val="0"/>
        <w:ind w:left="0" w:firstLine="420"/>
      </w:pPr>
      <w:r>
        <w:t xml:space="preserve">五、强化监测考核评价 </w:t>
      </w:r>
    </w:p>
    <w:p>
      <w:pPr>
        <w:pStyle w:val="2"/>
        <w:keepNext w:val="0"/>
        <w:keepLines w:val="0"/>
        <w:widowControl/>
        <w:suppressLineNumbers w:val="0"/>
        <w:ind w:left="0" w:firstLine="420"/>
      </w:pPr>
      <w:r>
        <w:t xml:space="preserve">坚决维护规划的严肃性、权威性，确保一张蓝图干到底。将规划落实情况作为干部政绩考核的重要内容，发挥“三项机制”的激励作用，落实干部各类福利待遇，最大程度调动广大干部干事创业的主动性，凝聚追赶超越精气神，激发担当作为积极性。建立规划评估机制，定期组织开展规划实施情况的跟踪分析，依据规划任务对各责任单位工作绩效进行评估，及时发现问题，提出解决措施。健全考评机制，强化日常监管，把规划指标和重点任务，按年度分解下达，纳入部门（单位）、镇（街道）年度目标责任考核，及时兑现奖惩。按照“谁承担、谁负责”的原则，加大督办力度，自觉接受县人大和县政协的监督检查，确保规划任务落细落实。 </w:t>
      </w:r>
    </w:p>
    <w:p>
      <w:pPr>
        <w:pStyle w:val="2"/>
        <w:keepNext w:val="0"/>
        <w:keepLines w:val="0"/>
        <w:widowControl/>
        <w:suppressLineNumbers w:val="0"/>
        <w:ind w:left="0" w:firstLine="420"/>
      </w:pPr>
      <w:r>
        <w:t xml:space="preserve">六、完善监督制约体系 </w:t>
      </w:r>
    </w:p>
    <w:p>
      <w:pPr>
        <w:pStyle w:val="2"/>
        <w:keepNext w:val="0"/>
        <w:keepLines w:val="0"/>
        <w:widowControl/>
        <w:suppressLineNumbers w:val="0"/>
        <w:ind w:left="0" w:firstLine="420"/>
        <w:jc w:val="both"/>
      </w:pPr>
      <w:r>
        <w:t xml:space="preserve">健全和完善党和国家监督体系，充分发挥各层次监督保障作用，推动党和国家决策部署及“十四五”规划目标任务的落地。推进纪检监察工作规范化和法治化进程，保障纪律监督、监察监督、派驻监督、巡视监督“四项监督”统筹衔接。以党内监督为主导，健全人大监督、民主监督、行政监督、司法监督、群众监督、舆论监督制度，完善参与监督的制度平台，提升监督能力，强化审计监督、统计监督职能作用，形成常态长效的监督合力。把监督融入区域治理、部门治理、行业治理、基层治理、单位治理中去，建立内外并重、上下协同、部门联动的监督体系，实现多层次、全方位、宽领域的监督。 </w:t>
      </w:r>
    </w:p>
    <w:p>
      <w:pPr>
        <w:pStyle w:val="2"/>
        <w:keepNext w:val="0"/>
        <w:keepLines w:val="0"/>
        <w:widowControl/>
        <w:suppressLineNumbers w:val="0"/>
        <w:ind w:left="0" w:firstLine="420"/>
        <w:jc w:val="both"/>
      </w:pPr>
      <w:r>
        <w:t xml:space="preserve">“十四五”期间，全县上下紧密团结在以习近平同志为核心的党中央周围，深入贯彻习近平总书记来陕考察重要讲话和党的十九届五中全会精神，认真落实省委十三届八次、市委七届十二次全会要求，凝心聚力推动发展，全力以赴追赶超越，全面开启社会主义现代化建设新征程，奋力谱写长武新时代追赶超越新篇章。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OGRmYmU1MjE2ZjlhMzNiNjM3OTgxZTIzYWNiNGMifQ=="/>
  </w:docVars>
  <w:rsids>
    <w:rsidRoot w:val="1CD13EB6"/>
    <w:rsid w:val="1CD13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2022-07-07T03:14:00Z</dcterms:created>
  <dc:creator>昕&amp;昕</dc:creator>
  <cp:lastModifiedBy>昕&amp;昕</cp:lastModifiedBy>
  <dcterms:modified xsi:type="dcterms:W3CDTF">2022-07-07T03:14:32Z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266172D97ACB4A8FA5DA5B0A8EF71148</vt:lpwstr>
  </property>
</Properties>
</file>