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78" w:lineRule="atLeast"/>
        <w:ind w:left="0" w:right="0" w:firstLine="0"/>
        <w:jc w:val="center"/>
        <w:rPr>
          <w:rFonts w:hint="eastAsia" w:ascii="宋体" w:hAnsi="宋体" w:eastAsia="宋体" w:cs="宋体"/>
          <w:caps w:val="0"/>
          <w:color w:val="333333"/>
          <w:spacing w:val="0"/>
          <w:sz w:val="21"/>
          <w:szCs w:val="21"/>
        </w:rPr>
      </w:pPr>
      <w:bookmarkStart w:id="0" w:name="_GoBack"/>
      <w:r>
        <w:rPr>
          <w:rStyle w:val="5"/>
          <w:rFonts w:hint="eastAsia" w:ascii="宋体" w:hAnsi="宋体" w:eastAsia="宋体" w:cs="宋体"/>
          <w:caps w:val="0"/>
          <w:color w:val="333333"/>
          <w:spacing w:val="0"/>
          <w:sz w:val="21"/>
          <w:szCs w:val="21"/>
          <w:bdr w:val="none" w:color="auto" w:sz="0" w:space="0"/>
          <w:shd w:val="clear" w:fill="FFFFFF"/>
        </w:rPr>
        <w:t>重点任务分工及进度安排表</w:t>
      </w:r>
    </w:p>
    <w:bookmarkEnd w:id="0"/>
    <w:tbl>
      <w:tblPr>
        <w:tblW w:w="9450" w:type="dxa"/>
        <w:jc w:val="center"/>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Layout w:type="autofit"/>
        <w:tblCellMar>
          <w:top w:w="0" w:type="dxa"/>
          <w:left w:w="0" w:type="dxa"/>
          <w:bottom w:w="0" w:type="dxa"/>
          <w:right w:w="0" w:type="dxa"/>
        </w:tblCellMar>
      </w:tblPr>
      <w:tblGrid>
        <w:gridCol w:w="540"/>
        <w:gridCol w:w="5850"/>
        <w:gridCol w:w="2017"/>
        <w:gridCol w:w="1043"/>
      </w:tblGrid>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378" w:lineRule="atLeast"/>
              <w:ind w:left="0" w:right="0"/>
              <w:jc w:val="center"/>
              <w:rPr>
                <w:rFonts w:hint="eastAsia" w:ascii="宋体" w:hAnsi="宋体" w:eastAsia="宋体" w:cs="宋体"/>
                <w:sz w:val="21"/>
                <w:szCs w:val="21"/>
              </w:rPr>
            </w:pPr>
            <w:r>
              <w:rPr>
                <w:rStyle w:val="5"/>
                <w:rFonts w:hint="eastAsia" w:ascii="宋体" w:hAnsi="宋体" w:eastAsia="宋体" w:cs="宋体"/>
                <w:i w:val="0"/>
                <w:iCs w:val="0"/>
                <w:caps w:val="0"/>
                <w:color w:val="000000"/>
                <w:spacing w:val="0"/>
                <w:sz w:val="20"/>
                <w:szCs w:val="20"/>
                <w:bdr w:val="none" w:color="auto" w:sz="0" w:space="0"/>
              </w:rPr>
              <w:t>序号</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378" w:lineRule="atLeast"/>
              <w:ind w:left="0" w:right="0"/>
              <w:jc w:val="center"/>
              <w:rPr>
                <w:rFonts w:hint="eastAsia" w:ascii="宋体" w:hAnsi="宋体" w:eastAsia="宋体" w:cs="宋体"/>
                <w:sz w:val="21"/>
                <w:szCs w:val="21"/>
              </w:rPr>
            </w:pPr>
            <w:r>
              <w:rPr>
                <w:rStyle w:val="5"/>
                <w:rFonts w:hint="eastAsia" w:ascii="宋体" w:hAnsi="宋体" w:eastAsia="宋体" w:cs="宋体"/>
                <w:i w:val="0"/>
                <w:iCs w:val="0"/>
                <w:caps w:val="0"/>
                <w:color w:val="000000"/>
                <w:spacing w:val="0"/>
                <w:sz w:val="20"/>
                <w:szCs w:val="20"/>
                <w:bdr w:val="none" w:color="auto" w:sz="0" w:space="0"/>
              </w:rPr>
              <w:t>工　作　任　务</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378" w:lineRule="atLeast"/>
              <w:ind w:left="0" w:right="0"/>
              <w:jc w:val="center"/>
              <w:rPr>
                <w:rFonts w:hint="eastAsia" w:ascii="宋体" w:hAnsi="宋体" w:eastAsia="宋体" w:cs="宋体"/>
                <w:sz w:val="21"/>
                <w:szCs w:val="21"/>
              </w:rPr>
            </w:pPr>
            <w:r>
              <w:rPr>
                <w:rStyle w:val="5"/>
                <w:rFonts w:hint="eastAsia" w:ascii="宋体" w:hAnsi="宋体" w:eastAsia="宋体" w:cs="宋体"/>
                <w:i w:val="0"/>
                <w:iCs w:val="0"/>
                <w:caps w:val="0"/>
                <w:color w:val="000000"/>
                <w:spacing w:val="0"/>
                <w:sz w:val="20"/>
                <w:szCs w:val="20"/>
                <w:bdr w:val="none" w:color="auto" w:sz="0" w:space="0"/>
              </w:rPr>
              <w:t>负责单位</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378" w:lineRule="atLeast"/>
              <w:ind w:left="0" w:right="0"/>
              <w:jc w:val="center"/>
              <w:rPr>
                <w:rFonts w:hint="eastAsia" w:ascii="宋体" w:hAnsi="宋体" w:eastAsia="宋体" w:cs="宋体"/>
                <w:sz w:val="21"/>
                <w:szCs w:val="21"/>
              </w:rPr>
            </w:pPr>
            <w:r>
              <w:rPr>
                <w:rStyle w:val="5"/>
                <w:rFonts w:hint="eastAsia" w:ascii="宋体" w:hAnsi="宋体" w:eastAsia="宋体" w:cs="宋体"/>
                <w:i w:val="0"/>
                <w:iCs w:val="0"/>
                <w:caps w:val="0"/>
                <w:color w:val="000000"/>
                <w:spacing w:val="0"/>
                <w:sz w:val="20"/>
                <w:szCs w:val="20"/>
                <w:bdr w:val="none" w:color="auto" w:sz="0" w:space="0"/>
              </w:rPr>
              <w:t>时间进度</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稳步推进建立国家公园体制，实现对国家自然和文化遗产地更有效的保护和利用</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发展改革委等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2015年底前取得阶段性成果</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完善旅游统计指标体系和调查方法，建立科学的旅游发展考核评价体系</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统计局、旅游局等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3</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完善国家旅游宣传推广体系，采取政府购买服务等方式，逐步实现国家旅游宣传促销专业化、市场化。建立多语种的国家旅游宣传推广网站，加强国家旅游形象宣传</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旅游局、财政部等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4</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研究促进外国人入境过境旅游签证便利化措施，推动符合规定条件的对外开放口岸开展外国人签证业务，逐步优化完善外国人72小时过境免签政策，推动外国人72小时过境免签城市数量适当、布局合理。统筹研究部分国家旅游团入境免签政策，优化邮轮出入境政策。为外国旅客提供签证和入出境便利，不断提高签证签发、边防检查等出入境服务水平</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公安部、外交部、海关总署、旅游局等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5</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推进整形整容、内外科等优势医疗资源面向国内外提供医疗旅游服务。发挥中医药优势，形成一批中医药健康旅游服务产品。规范服务流程和服务标准，发展特色医疗、疗养康复、美容保健等医疗旅游</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卫生计生委、旅游局、中医药局等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持续实施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6</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建立旅居全挂车营地和露营地建设标准，完善旅居全挂车上路通行的政策措施</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公安部、交通运输部、旅游局、体育总局等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7</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加强乡村旅游精准扶贫，扎实推进乡村旅游富民工程，带动贫困地区脱贫致富</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发展改革委、旅游局等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2015年底前取得阶段性成果</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8</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加强对研学旅行的管理，规范中小学生集体出国旅行</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教育部、发展改革委、旅游局等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9</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抓紧制定老年旅游服务规范，推动形成专业化的老年旅游服务品牌</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旅游局、全国老龄办等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10</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实施中国旅游商品品牌建设工程，重视旅游纪念品创意设计，提升文化内涵和附加值，加强知识产权保护，培育体现地方特色的旅游商品品牌</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11</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研究完善境外旅客购物离境退税政策，将实施范围扩大至全国符合条件的地区</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财政部、海关总署、税务总局、商务部、旅游局等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2014年12月底前出台具体措施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12</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完善加油站点和高速公路服务区的旅游服务功能，加快推进高速公路电子不停车收费系统（ETC）建设。将通往旅游区的标志纳入道路交通标志范围，完善指引、旅游符号等标志设置</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交通运输部、商务部等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持续实施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13</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建立严重违法企业“黑名单”制度，加大曝光力度，完善违法信息共享机制</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旅游局、工商总局等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14</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利用风景名胜区、自然保护区、文物保护单位等公共资源建设的景区门票以及景区内另行收费的游览场所、交通工具等项目价格要实行政府定价或者政府指导价，体现公益性，严格控制价格上涨</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发展改革委等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持续实施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15</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将带薪年休假制度落实情况纳入各地政府议事日程，作为劳动监察和职工权益保障的重要内容，推动机关、企事业单位加快落实职工带薪年休假制度</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人力资源社会保障部、全国总工会等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持续实施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16</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在教学时间总量不变的情况下，高等学校可结合实际调整寒、暑假时间，中小学可按有关规定安排放春假，为职工落实带薪年休假创造条件</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教育部等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17</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编制全国生态旅游发展规划，加强对国家重点旅游区域的指导，抓好集中连片特困地区旅游资源整体开发，引导生态旅游健康发展</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发展改革委、旅游局、环境保护部、住房城乡建设部、林业局、扶贫办等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2015年底前完成</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18</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中央政府要加大对中西部地区重点景区、乡村旅游、红色旅游、集中连片特困地区生态旅游等旅游基础设施和生态环境保护设施建设的支持力度</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发展改革委、旅游局等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持续实施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19</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抓紧研究新形势下中央财政支持旅游业发展的相关政策，做好国家旅游宣传推广、规划编制、人才培养和旅游公共服务体系建设</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财政部、发展改革委、旅游局等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改革完善旅游用地管理制度，推动土地差别化管理与引导旅游供给结构调整相结合</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国土资源部、旅游局等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21</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编制和调整土地利用总体规划、城乡规划和海洋功能区规划时，要充分考虑相关旅游项目、设施的空间布局和建设用地要求，规范用海及海岸线占用</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国土资源部、住房城乡建设部、海洋局、旅游局等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2015年6月底前出台具体措施</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22</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编制全国旅游人才中长期发展规划，优化人才发展的体制机制</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2015年底前完成</w:t>
            </w:r>
          </w:p>
        </w:tc>
      </w:tr>
      <w:tr>
        <w:tblPrEx>
          <w:tblBorders>
            <w:top w:val="single" w:color="0A0A0A" w:sz="6" w:space="0"/>
            <w:left w:val="single" w:color="0A0A0A" w:sz="6" w:space="0"/>
            <w:bottom w:val="single" w:color="0A0A0A" w:sz="6" w:space="0"/>
            <w:right w:val="single" w:color="0A0A0A"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54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center"/>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23</w:t>
            </w:r>
          </w:p>
        </w:tc>
        <w:tc>
          <w:tcPr>
            <w:tcW w:w="5850" w:type="dxa"/>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建立完善旅游人才评价制度，培育职业经理人市场。推动导游管理体制改革，建立健全导游评价制度，落实导游薪酬和社会保险制度，逐步建立导游职级、服务质量与报酬相一致的激励机制</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keepNext w:val="0"/>
              <w:keepLines w:val="0"/>
              <w:widowControl/>
              <w:suppressLineNumbers w:val="0"/>
              <w:shd w:val="clear" w:fill="FFFFFF"/>
              <w:spacing w:before="0" w:beforeAutospacing="0" w:after="0" w:afterAutospacing="0" w:line="432" w:lineRule="atLeast"/>
              <w:ind w:left="0" w:right="0" w:firstLine="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kern w:val="0"/>
                <w:sz w:val="20"/>
                <w:szCs w:val="20"/>
                <w:bdr w:val="none" w:color="auto" w:sz="0" w:space="0"/>
                <w:lang w:val="en-US" w:eastAsia="zh-CN" w:bidi="ar"/>
              </w:rPr>
              <w:t>人力资源社会保障部、旅游局等</w:t>
            </w:r>
          </w:p>
        </w:tc>
        <w:tc>
          <w:tcPr>
            <w:tcW w:w="0" w:type="auto"/>
            <w:tcBorders>
              <w:top w:val="outset" w:color="000000" w:sz="6" w:space="0"/>
              <w:left w:val="outset" w:color="000000" w:sz="6" w:space="0"/>
              <w:bottom w:val="outset" w:color="000000" w:sz="6" w:space="0"/>
              <w:right w:val="outset" w:color="000000" w:sz="6" w:space="0"/>
            </w:tcBorders>
            <w:shd w:val="clear" w:color="auto" w:fill="FFFFFF"/>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378" w:lineRule="atLeast"/>
              <w:ind w:left="0" w:right="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0"/>
                <w:szCs w:val="20"/>
                <w:bdr w:val="none" w:color="auto" w:sz="0" w:space="0"/>
              </w:rPr>
              <w:t>2015年6月底前出台具体措施</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0OGRmYmU1MjE2ZjlhMzNiNjM3OTgxZTIzYWNiNGMifQ=="/>
  </w:docVars>
  <w:rsids>
    <w:rsidRoot w:val="4512646C"/>
    <w:rsid w:val="45126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2022-08-10T08:52:00Z</dcterms:created>
  <dc:creator>昕&amp;昕</dc:creator>
  <cp:lastModifiedBy>昕&amp;昕</cp:lastModifiedBy>
  <dcterms:modified xsi:type="dcterms:W3CDTF">2022-08-10T08:53:02Z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14F9F56DBF794A00BF0BEEAF991193AA</vt:lpwstr>
  </property>
</Properties>
</file>